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5E" w:rsidRDefault="00926F5E" w:rsidP="00926F5E">
      <w:pPr>
        <w:spacing w:line="560" w:lineRule="exact"/>
        <w:jc w:val="left"/>
        <w:rPr>
          <w:color w:val="FF0000"/>
        </w:rPr>
      </w:pPr>
      <w:r>
        <w:rPr>
          <w:rFonts w:ascii="黑体" w:eastAsia="黑体" w:hAnsi="宋体" w:hint="eastAsia"/>
          <w:sz w:val="30"/>
          <w:szCs w:val="30"/>
        </w:rPr>
        <w:t>附件3</w:t>
      </w:r>
    </w:p>
    <w:p w:rsidR="00926F5E" w:rsidRDefault="00926F5E" w:rsidP="00926F5E">
      <w:pPr>
        <w:spacing w:line="560" w:lineRule="exact"/>
        <w:jc w:val="center"/>
        <w:rPr>
          <w:rFonts w:ascii="黑体" w:eastAsia="黑体"/>
          <w:sz w:val="40"/>
          <w:szCs w:val="40"/>
        </w:rPr>
      </w:pPr>
      <w:r>
        <w:rPr>
          <w:rFonts w:ascii="黑体" w:eastAsia="黑体" w:hint="eastAsia"/>
          <w:sz w:val="40"/>
          <w:szCs w:val="40"/>
        </w:rPr>
        <w:t>中北大学学生医保待遇享受</w:t>
      </w:r>
    </w:p>
    <w:p w:rsidR="00926F5E" w:rsidRDefault="00926F5E" w:rsidP="00926F5E">
      <w:pPr>
        <w:spacing w:line="560" w:lineRule="exact"/>
        <w:jc w:val="left"/>
        <w:rPr>
          <w:rFonts w:ascii="黑体" w:eastAsia="黑体" w:hint="eastAsia"/>
          <w:sz w:val="44"/>
          <w:szCs w:val="44"/>
        </w:rPr>
      </w:pPr>
      <w:r>
        <w:rPr>
          <w:rFonts w:ascii="宋体!important" w:eastAsia="宋体!important" w:hAnsi="Tahoma" w:cs="Tahoma" w:hint="eastAsia"/>
          <w:sz w:val="28"/>
          <w:szCs w:val="28"/>
        </w:rPr>
        <w:t xml:space="preserve">    根据国务院、山西省人社厅、教育厅、太原市人民政府办公厅等上级部门文件要求，</w:t>
      </w:r>
      <w:r>
        <w:rPr>
          <w:rFonts w:hint="eastAsia"/>
          <w:sz w:val="28"/>
          <w:szCs w:val="28"/>
        </w:rPr>
        <w:t>中北大学学生参加的是</w:t>
      </w:r>
      <w:r>
        <w:rPr>
          <w:rFonts w:hint="eastAsia"/>
          <w:b/>
          <w:bCs/>
          <w:sz w:val="28"/>
          <w:szCs w:val="28"/>
        </w:rPr>
        <w:t>太原市城乡居民基本医疗保险</w:t>
      </w:r>
      <w:r>
        <w:rPr>
          <w:rFonts w:hint="eastAsia"/>
          <w:sz w:val="28"/>
          <w:szCs w:val="28"/>
        </w:rPr>
        <w:t>。</w:t>
      </w:r>
    </w:p>
    <w:p w:rsidR="00926F5E" w:rsidRDefault="00926F5E" w:rsidP="00926F5E">
      <w:pPr>
        <w:numPr>
          <w:ilvl w:val="0"/>
          <w:numId w:val="1"/>
        </w:numPr>
        <w:ind w:left="0" w:firstLineChars="200" w:firstLine="560"/>
        <w:rPr>
          <w:rFonts w:ascii="宋体" w:hAnsi="宋体" w:hint="eastAsia"/>
          <w:sz w:val="28"/>
          <w:szCs w:val="28"/>
        </w:rPr>
      </w:pPr>
      <w:r>
        <w:rPr>
          <w:rFonts w:ascii="宋体" w:hAnsi="宋体" w:hint="eastAsia"/>
          <w:sz w:val="28"/>
          <w:szCs w:val="28"/>
        </w:rPr>
        <w:t>按照党中央、国务院对全国建立中国特色医疗保障制度提出的新要求，根据《国务院办公厅将大学生纳入城镇居民基本医疗保险试点范围的指导意见》（国办发【2008】119号）《太原市人民政府办公厅关于大学生纳入城镇居民基本医疗保险试点的意见》（并政发【2009】60号），山西省人社厅、教育厅《关于进一步做好学生参加基本医疗保险工作的通知》（晋人社发【2011】81号），山西省医疗保障局、财政厅、国家税务总局山西省税务局《关于做好2020年城乡居民基本医疗保障工作的通知》（晋医保发【2020】）16号）</w:t>
      </w:r>
      <w:r>
        <w:rPr>
          <w:rFonts w:ascii="宋体!important" w:eastAsia="宋体!important" w:hAnsi="Tahoma" w:cs="Tahoma" w:hint="eastAsia"/>
          <w:sz w:val="28"/>
          <w:szCs w:val="28"/>
        </w:rPr>
        <w:t>（并医保发[2020]72号）（草坪区办函[2020]125号）</w:t>
      </w:r>
      <w:r>
        <w:rPr>
          <w:rFonts w:ascii="宋体" w:hAnsi="宋体" w:hint="eastAsia"/>
          <w:sz w:val="28"/>
          <w:szCs w:val="28"/>
        </w:rPr>
        <w:t>等文件要求：学生参加学校所在地（太原市尖草坪区）城乡居民基本医疗保险，由学校负责组织，每位学生按年度按文件标准将次年医保费用上缴太原市医保。年底前将在校学生全部纳入太原市城乡居民医保范畴。不参保学生要求家长写出书面申请并签字（书面申请由学校各学院保存以备查阅）。</w:t>
      </w:r>
    </w:p>
    <w:p w:rsidR="00926F5E" w:rsidRDefault="00926F5E" w:rsidP="00926F5E">
      <w:pPr>
        <w:spacing w:line="560" w:lineRule="exact"/>
        <w:ind w:firstLineChars="200" w:firstLine="560"/>
        <w:rPr>
          <w:rFonts w:ascii="宋体" w:hAnsi="宋体" w:hint="eastAsia"/>
          <w:sz w:val="28"/>
          <w:szCs w:val="28"/>
        </w:rPr>
      </w:pPr>
      <w:r>
        <w:rPr>
          <w:rFonts w:ascii="宋体" w:hAnsi="宋体" w:hint="eastAsia"/>
          <w:sz w:val="28"/>
          <w:szCs w:val="28"/>
        </w:rPr>
        <w:t>二、</w:t>
      </w:r>
      <w:r>
        <w:rPr>
          <w:rFonts w:ascii="宋体" w:hAnsi="宋体" w:hint="eastAsia"/>
          <w:b/>
          <w:sz w:val="28"/>
          <w:szCs w:val="28"/>
        </w:rPr>
        <w:t>参保时间和享受待遇时间：</w:t>
      </w:r>
    </w:p>
    <w:p w:rsidR="00926F5E" w:rsidRDefault="00926F5E" w:rsidP="00926F5E">
      <w:pPr>
        <w:spacing w:line="560" w:lineRule="exact"/>
        <w:ind w:firstLineChars="200" w:firstLine="560"/>
        <w:rPr>
          <w:rFonts w:hint="eastAsia"/>
          <w:sz w:val="28"/>
          <w:szCs w:val="28"/>
        </w:rPr>
      </w:pPr>
      <w:r>
        <w:rPr>
          <w:rFonts w:ascii="宋体" w:hAnsi="宋体" w:hint="eastAsia"/>
          <w:sz w:val="28"/>
          <w:szCs w:val="28"/>
        </w:rPr>
        <w:t>根据以上相关文件，中北大学学生参加的是太原市城乡居民基本医疗保险，学生入学当年9月份至12月份收集相关信息并缴费后，享受医保待遇时间为次年1月1日至</w:t>
      </w:r>
      <w:smartTag w:uri="urn:schemas-microsoft-com:office:smarttags" w:element="chsdate">
        <w:smartTagPr>
          <w:attr w:name="IsROCDate" w:val="False"/>
          <w:attr w:name="IsLunarDate" w:val="False"/>
          <w:attr w:name="Day" w:val="31"/>
          <w:attr w:name="Month" w:val="12"/>
          <w:attr w:name="Year" w:val="2018"/>
        </w:smartTagPr>
        <w:r>
          <w:rPr>
            <w:rFonts w:ascii="宋体" w:hAnsi="宋体" w:hint="eastAsia"/>
            <w:sz w:val="28"/>
            <w:szCs w:val="28"/>
          </w:rPr>
          <w:t>12月31日</w:t>
        </w:r>
      </w:smartTag>
      <w:r>
        <w:rPr>
          <w:rFonts w:hint="eastAsia"/>
          <w:sz w:val="28"/>
          <w:szCs w:val="28"/>
        </w:rPr>
        <w:t>。新生入学当年</w:t>
      </w:r>
      <w:r>
        <w:rPr>
          <w:sz w:val="28"/>
          <w:szCs w:val="28"/>
        </w:rPr>
        <w:t>9</w:t>
      </w:r>
      <w:r>
        <w:rPr>
          <w:rFonts w:hint="eastAsia"/>
          <w:sz w:val="28"/>
          <w:szCs w:val="28"/>
        </w:rPr>
        <w:t>月份至</w:t>
      </w:r>
      <w:r>
        <w:rPr>
          <w:sz w:val="28"/>
          <w:szCs w:val="28"/>
        </w:rPr>
        <w:t>12</w:t>
      </w:r>
      <w:r>
        <w:rPr>
          <w:rFonts w:hint="eastAsia"/>
          <w:sz w:val="28"/>
          <w:szCs w:val="28"/>
        </w:rPr>
        <w:t>月份为非参保时间段，</w:t>
      </w:r>
      <w:r>
        <w:rPr>
          <w:rFonts w:hint="eastAsia"/>
          <w:b/>
          <w:sz w:val="28"/>
          <w:szCs w:val="28"/>
        </w:rPr>
        <w:t>新生</w:t>
      </w:r>
      <w:r>
        <w:rPr>
          <w:rFonts w:hint="eastAsia"/>
          <w:sz w:val="28"/>
          <w:szCs w:val="28"/>
        </w:rPr>
        <w:t>在此期间如果突发疾病需住院者，</w:t>
      </w:r>
      <w:r>
        <w:rPr>
          <w:rFonts w:hint="eastAsia"/>
          <w:sz w:val="28"/>
          <w:szCs w:val="28"/>
        </w:rPr>
        <w:lastRenderedPageBreak/>
        <w:t>请及时与校医院医保科联系（电话：</w:t>
      </w:r>
      <w:r>
        <w:rPr>
          <w:sz w:val="28"/>
          <w:szCs w:val="28"/>
        </w:rPr>
        <w:t>3942624</w:t>
      </w:r>
      <w:r>
        <w:rPr>
          <w:rFonts w:hint="eastAsia"/>
          <w:sz w:val="28"/>
          <w:szCs w:val="28"/>
        </w:rPr>
        <w:t>），以便及时与市医保沟通，</w:t>
      </w:r>
      <w:r>
        <w:rPr>
          <w:rFonts w:hint="eastAsia"/>
          <w:b/>
          <w:sz w:val="28"/>
          <w:szCs w:val="28"/>
        </w:rPr>
        <w:t>可提前享受医保住院待遇</w:t>
      </w:r>
      <w:r>
        <w:rPr>
          <w:rFonts w:hint="eastAsia"/>
          <w:sz w:val="28"/>
          <w:szCs w:val="28"/>
        </w:rPr>
        <w:t>。</w:t>
      </w:r>
    </w:p>
    <w:p w:rsidR="00926F5E" w:rsidRDefault="00926F5E" w:rsidP="00926F5E"/>
    <w:p w:rsidR="00926F5E" w:rsidRDefault="00926F5E" w:rsidP="00926F5E">
      <w:pPr>
        <w:ind w:firstLineChars="200" w:firstLine="562"/>
        <w:rPr>
          <w:b/>
          <w:sz w:val="28"/>
          <w:szCs w:val="28"/>
        </w:rPr>
      </w:pPr>
      <w:r>
        <w:rPr>
          <w:rFonts w:hint="eastAsia"/>
          <w:b/>
          <w:sz w:val="28"/>
          <w:szCs w:val="28"/>
        </w:rPr>
        <w:t>三、大学生门诊统筹待遇标准：</w:t>
      </w:r>
    </w:p>
    <w:p w:rsidR="00926F5E" w:rsidRDefault="00926F5E" w:rsidP="00926F5E">
      <w:pPr>
        <w:spacing w:line="560" w:lineRule="exact"/>
        <w:ind w:firstLineChars="200" w:firstLine="560"/>
        <w:rPr>
          <w:sz w:val="28"/>
          <w:szCs w:val="28"/>
        </w:rPr>
      </w:pPr>
      <w:r>
        <w:rPr>
          <w:rFonts w:hint="eastAsia"/>
          <w:sz w:val="28"/>
          <w:szCs w:val="28"/>
        </w:rPr>
        <w:t>我校参保大学生在</w:t>
      </w:r>
      <w:r>
        <w:rPr>
          <w:rFonts w:hint="eastAsia"/>
          <w:b/>
          <w:sz w:val="28"/>
          <w:szCs w:val="28"/>
        </w:rPr>
        <w:t>中北大学医院（公立二甲医院）门诊</w:t>
      </w:r>
      <w:r>
        <w:rPr>
          <w:rFonts w:hint="eastAsia"/>
          <w:sz w:val="28"/>
          <w:szCs w:val="28"/>
        </w:rPr>
        <w:t>就医时，本人携带《大学生基本医疗保险诊疗手册》，所发生的符合规定的医疗费用，市医保负担</w:t>
      </w:r>
      <w:r>
        <w:rPr>
          <w:sz w:val="28"/>
          <w:szCs w:val="28"/>
        </w:rPr>
        <w:t>80%</w:t>
      </w:r>
      <w:r>
        <w:rPr>
          <w:rFonts w:hint="eastAsia"/>
          <w:sz w:val="28"/>
          <w:szCs w:val="28"/>
        </w:rPr>
        <w:t>，个人负担</w:t>
      </w:r>
      <w:r>
        <w:rPr>
          <w:sz w:val="28"/>
          <w:szCs w:val="28"/>
        </w:rPr>
        <w:t>20%</w:t>
      </w:r>
      <w:r>
        <w:rPr>
          <w:rFonts w:hint="eastAsia"/>
          <w:sz w:val="28"/>
          <w:szCs w:val="28"/>
        </w:rPr>
        <w:t>。新生享受门诊待遇时间为缴费后的次月</w:t>
      </w:r>
      <w:r>
        <w:rPr>
          <w:sz w:val="28"/>
          <w:szCs w:val="28"/>
        </w:rPr>
        <w:t>1</w:t>
      </w:r>
      <w:r>
        <w:rPr>
          <w:rFonts w:hint="eastAsia"/>
          <w:sz w:val="28"/>
          <w:szCs w:val="28"/>
        </w:rPr>
        <w:t>日至次年的</w:t>
      </w:r>
      <w:smartTag w:uri="urn:schemas-microsoft-com:office:smarttags" w:element="chsdate">
        <w:smartTagPr>
          <w:attr w:name="IsROCDate" w:val="False"/>
          <w:attr w:name="IsLunarDate" w:val="False"/>
          <w:attr w:name="Day" w:val="31"/>
          <w:attr w:name="Month" w:val="12"/>
          <w:attr w:name="Year" w:val="2018"/>
        </w:smartTagPr>
        <w:r>
          <w:rPr>
            <w:sz w:val="28"/>
            <w:szCs w:val="28"/>
          </w:rPr>
          <w:t>12</w:t>
        </w:r>
        <w:r>
          <w:rPr>
            <w:rFonts w:hint="eastAsia"/>
            <w:sz w:val="28"/>
            <w:szCs w:val="28"/>
          </w:rPr>
          <w:t>月</w:t>
        </w:r>
        <w:r>
          <w:rPr>
            <w:sz w:val="28"/>
            <w:szCs w:val="28"/>
          </w:rPr>
          <w:t>31</w:t>
        </w:r>
        <w:r>
          <w:rPr>
            <w:rFonts w:hint="eastAsia"/>
            <w:sz w:val="28"/>
            <w:szCs w:val="28"/>
          </w:rPr>
          <w:t>日</w:t>
        </w:r>
      </w:smartTag>
    </w:p>
    <w:p w:rsidR="00926F5E" w:rsidRDefault="00926F5E" w:rsidP="00926F5E">
      <w:pPr>
        <w:ind w:firstLineChars="200" w:firstLine="560"/>
        <w:rPr>
          <w:b/>
          <w:sz w:val="28"/>
          <w:szCs w:val="28"/>
        </w:rPr>
      </w:pPr>
      <w:r>
        <w:rPr>
          <w:rFonts w:hint="eastAsia"/>
          <w:sz w:val="28"/>
          <w:szCs w:val="28"/>
        </w:rPr>
        <w:t>四、</w:t>
      </w:r>
      <w:r>
        <w:rPr>
          <w:rFonts w:hint="eastAsia"/>
          <w:b/>
          <w:sz w:val="28"/>
          <w:szCs w:val="28"/>
        </w:rPr>
        <w:t>大学生门诊意外伤害报销标准</w:t>
      </w:r>
      <w:r>
        <w:rPr>
          <w:b/>
          <w:sz w:val="28"/>
          <w:szCs w:val="28"/>
        </w:rPr>
        <w:t>:</w:t>
      </w:r>
    </w:p>
    <w:p w:rsidR="00926F5E" w:rsidRDefault="00926F5E" w:rsidP="00926F5E">
      <w:pPr>
        <w:ind w:firstLineChars="200" w:firstLine="560"/>
        <w:rPr>
          <w:sz w:val="28"/>
          <w:szCs w:val="28"/>
        </w:rPr>
      </w:pPr>
      <w:r>
        <w:rPr>
          <w:rFonts w:hint="eastAsia"/>
          <w:sz w:val="28"/>
          <w:szCs w:val="28"/>
        </w:rPr>
        <w:t>大学生门诊意外伤害报销比例为</w:t>
      </w:r>
      <w:r>
        <w:rPr>
          <w:sz w:val="28"/>
          <w:szCs w:val="28"/>
        </w:rPr>
        <w:t>80%</w:t>
      </w:r>
      <w:r>
        <w:rPr>
          <w:rFonts w:hint="eastAsia"/>
          <w:sz w:val="28"/>
          <w:szCs w:val="28"/>
        </w:rPr>
        <w:t>，年度最高封顶线为</w:t>
      </w:r>
      <w:r>
        <w:rPr>
          <w:sz w:val="28"/>
          <w:szCs w:val="28"/>
        </w:rPr>
        <w:t>2000</w:t>
      </w:r>
      <w:r>
        <w:rPr>
          <w:rFonts w:hint="eastAsia"/>
          <w:sz w:val="28"/>
          <w:szCs w:val="28"/>
        </w:rPr>
        <w:t>元。发生意外伤害需</w:t>
      </w:r>
      <w:r>
        <w:rPr>
          <w:sz w:val="28"/>
          <w:szCs w:val="28"/>
        </w:rPr>
        <w:t>5</w:t>
      </w:r>
      <w:r>
        <w:rPr>
          <w:rFonts w:hint="eastAsia"/>
          <w:sz w:val="28"/>
          <w:szCs w:val="28"/>
        </w:rPr>
        <w:t>天内报校医院医保科，由医保科及时上传相关信息，以免过期影响报销。</w:t>
      </w:r>
    </w:p>
    <w:p w:rsidR="00926F5E" w:rsidRDefault="00926F5E" w:rsidP="00926F5E">
      <w:pPr>
        <w:ind w:firstLineChars="200" w:firstLine="560"/>
        <w:rPr>
          <w:b/>
          <w:sz w:val="28"/>
          <w:szCs w:val="28"/>
        </w:rPr>
      </w:pPr>
      <w:r>
        <w:rPr>
          <w:rFonts w:hint="eastAsia"/>
          <w:sz w:val="28"/>
          <w:szCs w:val="28"/>
        </w:rPr>
        <w:t>五</w:t>
      </w:r>
      <w:r>
        <w:rPr>
          <w:rFonts w:hint="eastAsia"/>
          <w:b/>
          <w:sz w:val="28"/>
          <w:szCs w:val="28"/>
        </w:rPr>
        <w:t>、大学生在太原市住院报销相关事宜：</w:t>
      </w:r>
    </w:p>
    <w:p w:rsidR="00926F5E" w:rsidRDefault="00926F5E" w:rsidP="00926F5E">
      <w:pPr>
        <w:ind w:firstLineChars="200" w:firstLine="560"/>
        <w:rPr>
          <w:sz w:val="28"/>
          <w:szCs w:val="28"/>
        </w:rPr>
      </w:pPr>
      <w:r>
        <w:rPr>
          <w:rFonts w:hint="eastAsia"/>
          <w:sz w:val="28"/>
          <w:szCs w:val="28"/>
        </w:rPr>
        <w:t>本校大学生如果在太原市定点医疗机构住院，必须携带大学生医保诊疗手册，出院时直接享受医保减免待遇，出院结算时只交自己该负担的费用。在非定点医院（包括所有私立医院）住院不享受医保减免待遇，发生的费用也不予报销。</w:t>
      </w:r>
    </w:p>
    <w:p w:rsidR="00926F5E" w:rsidRDefault="00926F5E" w:rsidP="00926F5E">
      <w:pPr>
        <w:ind w:firstLineChars="200" w:firstLine="560"/>
        <w:rPr>
          <w:sz w:val="28"/>
          <w:szCs w:val="28"/>
        </w:rPr>
      </w:pPr>
      <w:r>
        <w:rPr>
          <w:rFonts w:hint="eastAsia"/>
          <w:sz w:val="28"/>
          <w:szCs w:val="28"/>
        </w:rPr>
        <w:t>六</w:t>
      </w:r>
      <w:r>
        <w:rPr>
          <w:rFonts w:hint="eastAsia"/>
          <w:b/>
          <w:sz w:val="28"/>
          <w:szCs w:val="28"/>
        </w:rPr>
        <w:t>、在中北大学医院住院的学生，</w:t>
      </w:r>
      <w:r>
        <w:rPr>
          <w:rFonts w:hint="eastAsia"/>
          <w:sz w:val="28"/>
          <w:szCs w:val="28"/>
        </w:rPr>
        <w:t>除享受太原市城乡居民基本医疗保险待遇以外（符合政策规定的医疗费用，中北大学医院住院统筹基金支付比例为</w:t>
      </w:r>
      <w:r>
        <w:rPr>
          <w:sz w:val="28"/>
          <w:szCs w:val="28"/>
        </w:rPr>
        <w:t>70%</w:t>
      </w:r>
      <w:r>
        <w:rPr>
          <w:rFonts w:hint="eastAsia"/>
          <w:sz w:val="28"/>
          <w:szCs w:val="28"/>
        </w:rPr>
        <w:t>），医院另外给予二次补助报销（自负部分减去丙类费用，再给与</w:t>
      </w:r>
      <w:r>
        <w:rPr>
          <w:sz w:val="28"/>
          <w:szCs w:val="28"/>
        </w:rPr>
        <w:t>40%</w:t>
      </w:r>
      <w:r>
        <w:rPr>
          <w:rFonts w:hint="eastAsia"/>
          <w:sz w:val="28"/>
          <w:szCs w:val="28"/>
        </w:rPr>
        <w:t>的补助），以减轻学生的经济负担。</w:t>
      </w:r>
    </w:p>
    <w:p w:rsidR="00926F5E" w:rsidRDefault="00926F5E" w:rsidP="00926F5E">
      <w:pPr>
        <w:ind w:firstLineChars="200" w:firstLine="560"/>
        <w:rPr>
          <w:sz w:val="28"/>
          <w:szCs w:val="28"/>
        </w:rPr>
      </w:pPr>
      <w:r>
        <w:rPr>
          <w:rFonts w:hint="eastAsia"/>
          <w:sz w:val="28"/>
          <w:szCs w:val="28"/>
        </w:rPr>
        <w:t>七</w:t>
      </w:r>
      <w:r>
        <w:rPr>
          <w:rFonts w:hint="eastAsia"/>
          <w:b/>
          <w:sz w:val="28"/>
          <w:szCs w:val="28"/>
        </w:rPr>
        <w:t>、中北大学医院就医流程</w:t>
      </w:r>
    </w:p>
    <w:p w:rsidR="00926F5E" w:rsidRDefault="00926F5E" w:rsidP="00926F5E">
      <w:pPr>
        <w:ind w:left="420"/>
      </w:pPr>
      <w:r>
        <w:rPr>
          <w:noProof/>
        </w:rPr>
        <w:lastRenderedPageBreak/>
        <mc:AlternateContent>
          <mc:Choice Requires="wpc">
            <w:drawing>
              <wp:inline distT="0" distB="0" distL="0" distR="0">
                <wp:extent cx="5600700" cy="4457700"/>
                <wp:effectExtent l="0" t="0" r="19050" b="0"/>
                <wp:docPr id="1" name="画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Line 25"/>
                        <wps:cNvCnPr>
                          <a:cxnSpLocks noChangeShapeType="1"/>
                        </wps:cNvCnPr>
                        <wps:spPr bwMode="auto">
                          <a:xfrm>
                            <a:off x="2333625" y="297232"/>
                            <a:ext cx="784" cy="294904"/>
                          </a:xfrm>
                          <a:prstGeom prst="line">
                            <a:avLst/>
                          </a:prstGeom>
                          <a:noFill/>
                          <a:ln w="9525">
                            <a:solidFill>
                              <a:srgbClr val="000000"/>
                            </a:solidFill>
                            <a:round/>
                            <a:headEnd/>
                            <a:tailEnd type="triangle" w="med" len="med"/>
                          </a:ln>
                        </wps:spPr>
                        <wps:bodyPr/>
                      </wps:wsp>
                      <wps:wsp>
                        <wps:cNvPr id="22" name="Text Box 26"/>
                        <wps:cNvSpPr txBox="1">
                          <a:spLocks noChangeArrowheads="1"/>
                        </wps:cNvSpPr>
                        <wps:spPr bwMode="auto">
                          <a:xfrm>
                            <a:off x="400050" y="0"/>
                            <a:ext cx="4067175" cy="297232"/>
                          </a:xfrm>
                          <a:prstGeom prst="rect">
                            <a:avLst/>
                          </a:prstGeom>
                          <a:solidFill>
                            <a:srgbClr val="FFFFFF">
                              <a:alpha val="0"/>
                            </a:srgbClr>
                          </a:solidFill>
                          <a:ln w="9525">
                            <a:solidFill>
                              <a:srgbClr val="000000"/>
                            </a:solidFill>
                            <a:miter lim="800000"/>
                            <a:headEnd/>
                            <a:tailEnd/>
                          </a:ln>
                        </wps:spPr>
                        <wps:txbx>
                          <w:txbxContent>
                            <w:p w:rsidR="00926F5E" w:rsidRDefault="00926F5E" w:rsidP="00926F5E">
                              <w:pPr>
                                <w:jc w:val="center"/>
                              </w:pPr>
                              <w:r>
                                <w:rPr>
                                  <w:rFonts w:hint="eastAsia"/>
                                </w:rPr>
                                <w:t>大学生持本人医保诊疗手册在挂号室挂号</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0" y="1287487"/>
                            <a:ext cx="1333500" cy="297232"/>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门诊患者</w:t>
                              </w:r>
                            </w:p>
                          </w:txbxContent>
                        </wps:txbx>
                        <wps:bodyPr rot="0" vert="horz" wrap="square" lIns="91440" tIns="45720" rIns="91440" bIns="45720" anchor="t" anchorCtr="0" upright="1">
                          <a:noAutofit/>
                        </wps:bodyPr>
                      </wps:wsp>
                      <wps:wsp>
                        <wps:cNvPr id="24" name="Line 28"/>
                        <wps:cNvCnPr>
                          <a:cxnSpLocks noChangeShapeType="1"/>
                        </wps:cNvCnPr>
                        <wps:spPr bwMode="auto">
                          <a:xfrm>
                            <a:off x="600075" y="891695"/>
                            <a:ext cx="784" cy="294904"/>
                          </a:xfrm>
                          <a:prstGeom prst="line">
                            <a:avLst/>
                          </a:prstGeom>
                          <a:noFill/>
                          <a:ln w="9525">
                            <a:solidFill>
                              <a:srgbClr val="000000"/>
                            </a:solidFill>
                            <a:round/>
                            <a:headEnd/>
                            <a:tailEnd type="triangle" w="med" len="med"/>
                          </a:ln>
                        </wps:spPr>
                        <wps:bodyPr/>
                      </wps:wsp>
                      <wps:wsp>
                        <wps:cNvPr id="25" name="Line 29"/>
                        <wps:cNvCnPr>
                          <a:cxnSpLocks noChangeShapeType="1"/>
                        </wps:cNvCnPr>
                        <wps:spPr bwMode="auto">
                          <a:xfrm>
                            <a:off x="571836" y="1584719"/>
                            <a:ext cx="784" cy="296456"/>
                          </a:xfrm>
                          <a:prstGeom prst="line">
                            <a:avLst/>
                          </a:prstGeom>
                          <a:noFill/>
                          <a:ln w="9525">
                            <a:solidFill>
                              <a:srgbClr val="000000"/>
                            </a:solidFill>
                            <a:round/>
                            <a:headEnd/>
                            <a:tailEnd type="triangle" w="med" len="med"/>
                          </a:ln>
                        </wps:spPr>
                        <wps:bodyPr/>
                      </wps:wsp>
                      <wps:wsp>
                        <wps:cNvPr id="26" name="Text Box 30"/>
                        <wps:cNvSpPr txBox="1">
                          <a:spLocks noChangeArrowheads="1"/>
                        </wps:cNvSpPr>
                        <wps:spPr bwMode="auto">
                          <a:xfrm>
                            <a:off x="0" y="1881950"/>
                            <a:ext cx="1371936" cy="891695"/>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门诊大厅挂号处</w:t>
                              </w:r>
                            </w:p>
                            <w:p w:rsidR="00926F5E" w:rsidRDefault="00926F5E" w:rsidP="00926F5E">
                              <w:pPr>
                                <w:jc w:val="center"/>
                              </w:pPr>
                              <w:r>
                                <w:rPr>
                                  <w:rFonts w:hint="eastAsia"/>
                                </w:rPr>
                                <w:t>付费、打印收据</w:t>
                              </w:r>
                            </w:p>
                            <w:p w:rsidR="00926F5E" w:rsidRDefault="00926F5E" w:rsidP="00926F5E">
                              <w:pPr>
                                <w:jc w:val="center"/>
                              </w:pPr>
                              <w:r>
                                <w:rPr>
                                  <w:rFonts w:hint="eastAsia"/>
                                </w:rPr>
                                <w:t>（符合政策的享受</w:t>
                              </w:r>
                              <w:r>
                                <w:t>80%</w:t>
                              </w:r>
                              <w:r>
                                <w:rPr>
                                  <w:rFonts w:hint="eastAsia"/>
                                </w:rPr>
                                <w:t>报销比例）</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0" y="3070877"/>
                            <a:ext cx="1333500" cy="300336"/>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治疗、检查、取药</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2266950" y="1188927"/>
                            <a:ext cx="3133725" cy="297232"/>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住院患者</w:t>
                              </w:r>
                            </w:p>
                          </w:txbxContent>
                        </wps:txbx>
                        <wps:bodyPr rot="0" vert="horz" wrap="square" lIns="91440" tIns="45720" rIns="91440" bIns="45720" anchor="t" anchorCtr="0" upright="1">
                          <a:noAutofit/>
                        </wps:bodyPr>
                      </wps:wsp>
                      <wps:wsp>
                        <wps:cNvPr id="29" name="Text Box 33"/>
                        <wps:cNvSpPr txBox="1">
                          <a:spLocks noChangeArrowheads="1"/>
                        </wps:cNvSpPr>
                        <wps:spPr bwMode="auto">
                          <a:xfrm>
                            <a:off x="1866900" y="1783390"/>
                            <a:ext cx="3733800" cy="297232"/>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住院患者持入院证、医疗手册到出入院处登记、留存患者信息</w:t>
                              </w:r>
                            </w:p>
                          </w:txbxContent>
                        </wps:txbx>
                        <wps:bodyPr rot="0" vert="horz" wrap="square" lIns="91440" tIns="45720" rIns="91440" bIns="45720" anchor="t" anchorCtr="0" upright="1">
                          <a:noAutofit/>
                        </wps:bodyPr>
                      </wps:wsp>
                      <wps:wsp>
                        <wps:cNvPr id="30" name="Text Box 34"/>
                        <wps:cNvSpPr txBox="1">
                          <a:spLocks noChangeArrowheads="1"/>
                        </wps:cNvSpPr>
                        <wps:spPr bwMode="auto">
                          <a:xfrm>
                            <a:off x="2266950" y="2377854"/>
                            <a:ext cx="3133725" cy="296456"/>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患者住院治疗</w:t>
                              </w:r>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2285776" y="2972317"/>
                            <a:ext cx="3133725" cy="495904"/>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患者持出院证到出入院处办理出院手续</w:t>
                              </w:r>
                            </w:p>
                            <w:p w:rsidR="00926F5E" w:rsidRDefault="00926F5E" w:rsidP="00926F5E">
                              <w:pPr>
                                <w:jc w:val="center"/>
                              </w:pPr>
                              <w:r>
                                <w:rPr>
                                  <w:rFonts w:hint="eastAsia"/>
                                </w:rPr>
                                <w:t>（享受太原市大学生医保待遇）</w:t>
                              </w:r>
                            </w:p>
                          </w:txbxContent>
                        </wps:txbx>
                        <wps:bodyPr rot="0" vert="horz" wrap="square" lIns="91440" tIns="45720" rIns="91440" bIns="45720" anchor="t" anchorCtr="0" upright="1">
                          <a:noAutofit/>
                        </wps:bodyPr>
                      </wps:wsp>
                      <wps:wsp>
                        <wps:cNvPr id="32" name="Line 36"/>
                        <wps:cNvCnPr>
                          <a:cxnSpLocks noChangeShapeType="1"/>
                        </wps:cNvCnPr>
                        <wps:spPr bwMode="auto">
                          <a:xfrm>
                            <a:off x="3733800" y="891695"/>
                            <a:ext cx="784" cy="295680"/>
                          </a:xfrm>
                          <a:prstGeom prst="line">
                            <a:avLst/>
                          </a:prstGeom>
                          <a:noFill/>
                          <a:ln w="9525">
                            <a:solidFill>
                              <a:srgbClr val="000000"/>
                            </a:solidFill>
                            <a:round/>
                            <a:headEnd/>
                            <a:tailEnd type="triangle" w="med" len="med"/>
                          </a:ln>
                        </wps:spPr>
                        <wps:bodyPr/>
                      </wps:wsp>
                      <wps:wsp>
                        <wps:cNvPr id="33" name="Text Box 37"/>
                        <wps:cNvSpPr txBox="1">
                          <a:spLocks noChangeArrowheads="1"/>
                        </wps:cNvSpPr>
                        <wps:spPr bwMode="auto">
                          <a:xfrm>
                            <a:off x="400050" y="595240"/>
                            <a:ext cx="4067175" cy="297232"/>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到相应科室就医</w:t>
                              </w:r>
                            </w:p>
                          </w:txbxContent>
                        </wps:txbx>
                        <wps:bodyPr rot="0" vert="horz" wrap="square" lIns="91440" tIns="45720" rIns="91440" bIns="45720" anchor="t" anchorCtr="0" upright="1">
                          <a:noAutofit/>
                        </wps:bodyPr>
                      </wps:wsp>
                      <wps:wsp>
                        <wps:cNvPr id="34" name="Line 38"/>
                        <wps:cNvCnPr>
                          <a:cxnSpLocks noChangeShapeType="1"/>
                        </wps:cNvCnPr>
                        <wps:spPr bwMode="auto">
                          <a:xfrm>
                            <a:off x="3733800" y="1486159"/>
                            <a:ext cx="784" cy="294904"/>
                          </a:xfrm>
                          <a:prstGeom prst="line">
                            <a:avLst/>
                          </a:prstGeom>
                          <a:noFill/>
                          <a:ln w="9525">
                            <a:solidFill>
                              <a:srgbClr val="000000"/>
                            </a:solidFill>
                            <a:round/>
                            <a:headEnd/>
                            <a:tailEnd type="triangle" w="med" len="med"/>
                          </a:ln>
                        </wps:spPr>
                        <wps:bodyPr/>
                      </wps:wsp>
                      <wps:wsp>
                        <wps:cNvPr id="35" name="Line 39"/>
                        <wps:cNvCnPr>
                          <a:cxnSpLocks noChangeShapeType="1"/>
                        </wps:cNvCnPr>
                        <wps:spPr bwMode="auto">
                          <a:xfrm>
                            <a:off x="3733800" y="2080622"/>
                            <a:ext cx="784" cy="295680"/>
                          </a:xfrm>
                          <a:prstGeom prst="line">
                            <a:avLst/>
                          </a:prstGeom>
                          <a:noFill/>
                          <a:ln w="9525">
                            <a:solidFill>
                              <a:srgbClr val="000000"/>
                            </a:solidFill>
                            <a:round/>
                            <a:headEnd/>
                            <a:tailEnd type="triangle" w="med" len="med"/>
                          </a:ln>
                        </wps:spPr>
                        <wps:bodyPr/>
                      </wps:wsp>
                      <wps:wsp>
                        <wps:cNvPr id="36" name="Line 40"/>
                        <wps:cNvCnPr>
                          <a:cxnSpLocks noChangeShapeType="1"/>
                        </wps:cNvCnPr>
                        <wps:spPr bwMode="auto">
                          <a:xfrm>
                            <a:off x="3733800" y="2674310"/>
                            <a:ext cx="784" cy="297232"/>
                          </a:xfrm>
                          <a:prstGeom prst="line">
                            <a:avLst/>
                          </a:prstGeom>
                          <a:noFill/>
                          <a:ln w="9525">
                            <a:solidFill>
                              <a:srgbClr val="000000"/>
                            </a:solidFill>
                            <a:round/>
                            <a:headEnd/>
                            <a:tailEnd type="triangle" w="med" len="med"/>
                          </a:ln>
                        </wps:spPr>
                        <wps:bodyPr/>
                      </wps:wsp>
                      <wps:wsp>
                        <wps:cNvPr id="37" name="Line 41"/>
                        <wps:cNvCnPr>
                          <a:cxnSpLocks noChangeShapeType="1"/>
                        </wps:cNvCnPr>
                        <wps:spPr bwMode="auto">
                          <a:xfrm>
                            <a:off x="571836" y="2773646"/>
                            <a:ext cx="784" cy="295680"/>
                          </a:xfrm>
                          <a:prstGeom prst="line">
                            <a:avLst/>
                          </a:prstGeom>
                          <a:noFill/>
                          <a:ln w="9525">
                            <a:solidFill>
                              <a:srgbClr val="000000"/>
                            </a:solidFill>
                            <a:round/>
                            <a:headEnd/>
                            <a:tailEnd type="triangle" w="med" len="med"/>
                          </a:ln>
                        </wps:spPr>
                        <wps:bodyPr/>
                      </wps:wsp>
                      <wps:wsp>
                        <wps:cNvPr id="38" name="Line 42"/>
                        <wps:cNvCnPr>
                          <a:cxnSpLocks noChangeShapeType="1"/>
                        </wps:cNvCnPr>
                        <wps:spPr bwMode="auto">
                          <a:xfrm>
                            <a:off x="3772236" y="3467445"/>
                            <a:ext cx="784" cy="294904"/>
                          </a:xfrm>
                          <a:prstGeom prst="line">
                            <a:avLst/>
                          </a:prstGeom>
                          <a:noFill/>
                          <a:ln w="9525">
                            <a:solidFill>
                              <a:srgbClr val="000000"/>
                            </a:solidFill>
                            <a:round/>
                            <a:headEnd/>
                            <a:tailEnd type="triangle" w="med" len="med"/>
                          </a:ln>
                        </wps:spPr>
                        <wps:bodyPr/>
                      </wps:wsp>
                      <wps:wsp>
                        <wps:cNvPr id="39" name="Text Box 43"/>
                        <wps:cNvSpPr txBox="1">
                          <a:spLocks noChangeArrowheads="1"/>
                        </wps:cNvSpPr>
                        <wps:spPr bwMode="auto">
                          <a:xfrm>
                            <a:off x="2285776" y="3764677"/>
                            <a:ext cx="3133725" cy="494351"/>
                          </a:xfrm>
                          <a:prstGeom prst="rect">
                            <a:avLst/>
                          </a:prstGeom>
                          <a:solidFill>
                            <a:srgbClr val="FFFFFF"/>
                          </a:solidFill>
                          <a:ln w="9525">
                            <a:solidFill>
                              <a:srgbClr val="000000"/>
                            </a:solidFill>
                            <a:miter lim="800000"/>
                            <a:headEnd/>
                            <a:tailEnd/>
                          </a:ln>
                        </wps:spPr>
                        <wps:txbx>
                          <w:txbxContent>
                            <w:p w:rsidR="00926F5E" w:rsidRDefault="00926F5E" w:rsidP="00926F5E">
                              <w:pPr>
                                <w:jc w:val="center"/>
                              </w:pPr>
                              <w:r>
                                <w:rPr>
                                  <w:rFonts w:hint="eastAsia"/>
                                </w:rPr>
                                <w:t>大学生患者将出院证及结算发票送到</w:t>
                              </w:r>
                            </w:p>
                            <w:p w:rsidR="00926F5E" w:rsidRDefault="00926F5E" w:rsidP="00926F5E">
                              <w:pPr>
                                <w:jc w:val="center"/>
                              </w:pPr>
                              <w:r>
                                <w:rPr>
                                  <w:rFonts w:hint="eastAsia"/>
                                </w:rPr>
                                <w:t>门诊三层医保科办理二次报销补助</w:t>
                              </w:r>
                            </w:p>
                          </w:txbxContent>
                        </wps:txbx>
                        <wps:bodyPr rot="0" vert="horz" wrap="square" lIns="91440" tIns="45720" rIns="91440" bIns="45720" anchor="t" anchorCtr="0" upright="1">
                          <a:noAutofit/>
                        </wps:bodyPr>
                      </wps:wsp>
                    </wpc:wpc>
                  </a:graphicData>
                </a:graphic>
              </wp:inline>
            </w:drawing>
          </mc:Choice>
          <mc:Fallback>
            <w:pict>
              <v:group id="画布 1" o:spid="_x0000_s1026" editas="canvas" style="width:441pt;height:351pt;mso-position-horizontal-relative:char;mso-position-vertical-relative:line" coordsize="56007,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4577;visibility:visible;mso-wrap-style:square">
                  <v:fill o:detectmouseclick="t"/>
                  <v:path o:connecttype="none"/>
                </v:shape>
                <v:line id="Line 25" o:spid="_x0000_s1028" style="position:absolute;visibility:visible;mso-wrap-style:square" from="23336,2972" to="23344,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29" type="#_x0000_t202" style="position:absolute;left:4000;width:406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ccsIA&#10;AADbAAAADwAAAGRycy9kb3ducmV2LnhtbESPzW7CMBCE75V4B2uRuBWHtPwoYFBEhei1wAMs8ZIE&#10;4nVkGxLeHleq1ONoZr7RrDa9acSDnK8tK5iMExDEhdU1lwpOx937AoQPyBoby6TgSR4268HbCjNt&#10;O/6hxyGUIkLYZ6igCqHNpPRFRQb92LbE0btYZzBE6UqpHXYRbhqZJslMGqw5LlTY0rai4na4GwVf&#10;YXeZ++6c0/Qzn7qZ2Z8W1w+lRsM+X4II1If/8F/7WytIU/j9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NxywgAAANsAAAAPAAAAAAAAAAAAAAAAAJgCAABkcnMvZG93&#10;bnJldi54bWxQSwUGAAAAAAQABAD1AAAAhwMAAAAA&#10;">
                  <v:fill opacity="0"/>
                  <v:textbox>
                    <w:txbxContent>
                      <w:p w:rsidR="00926F5E" w:rsidRDefault="00926F5E" w:rsidP="00926F5E">
                        <w:pPr>
                          <w:jc w:val="center"/>
                        </w:pPr>
                        <w:r>
                          <w:rPr>
                            <w:rFonts w:hint="eastAsia"/>
                          </w:rPr>
                          <w:t>大学生持本人医保诊疗手册在挂号室挂号</w:t>
                        </w:r>
                      </w:p>
                    </w:txbxContent>
                  </v:textbox>
                </v:shape>
                <v:shape id="Text Box 27" o:spid="_x0000_s1030" type="#_x0000_t202" style="position:absolute;top:12874;width:13335;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26F5E" w:rsidRDefault="00926F5E" w:rsidP="00926F5E">
                        <w:pPr>
                          <w:jc w:val="center"/>
                        </w:pPr>
                        <w:r>
                          <w:rPr>
                            <w:rFonts w:hint="eastAsia"/>
                          </w:rPr>
                          <w:t>门诊患者</w:t>
                        </w:r>
                      </w:p>
                    </w:txbxContent>
                  </v:textbox>
                </v:shape>
                <v:line id="Line 28" o:spid="_x0000_s1031" style="position:absolute;visibility:visible;mso-wrap-style:square" from="6000,8916" to="6008,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32" style="position:absolute;visibility:visible;mso-wrap-style:square" from="5718,15847" to="5726,1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30" o:spid="_x0000_s1033" type="#_x0000_t202" style="position:absolute;top:18819;width:13719;height:8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26F5E" w:rsidRDefault="00926F5E" w:rsidP="00926F5E">
                        <w:pPr>
                          <w:jc w:val="center"/>
                        </w:pPr>
                        <w:r>
                          <w:rPr>
                            <w:rFonts w:hint="eastAsia"/>
                          </w:rPr>
                          <w:t>门诊大厅挂号处</w:t>
                        </w:r>
                      </w:p>
                      <w:p w:rsidR="00926F5E" w:rsidRDefault="00926F5E" w:rsidP="00926F5E">
                        <w:pPr>
                          <w:jc w:val="center"/>
                        </w:pPr>
                        <w:r>
                          <w:rPr>
                            <w:rFonts w:hint="eastAsia"/>
                          </w:rPr>
                          <w:t>付费、打印收据</w:t>
                        </w:r>
                      </w:p>
                      <w:p w:rsidR="00926F5E" w:rsidRDefault="00926F5E" w:rsidP="00926F5E">
                        <w:pPr>
                          <w:jc w:val="center"/>
                        </w:pPr>
                        <w:r>
                          <w:rPr>
                            <w:rFonts w:hint="eastAsia"/>
                          </w:rPr>
                          <w:t>（符合政策的享受</w:t>
                        </w:r>
                        <w:r>
                          <w:t>80%</w:t>
                        </w:r>
                        <w:r>
                          <w:rPr>
                            <w:rFonts w:hint="eastAsia"/>
                          </w:rPr>
                          <w:t>报销比例）</w:t>
                        </w:r>
                      </w:p>
                    </w:txbxContent>
                  </v:textbox>
                </v:shape>
                <v:shape id="Text Box 31" o:spid="_x0000_s1034" type="#_x0000_t202" style="position:absolute;top:30708;width:13335;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26F5E" w:rsidRDefault="00926F5E" w:rsidP="00926F5E">
                        <w:pPr>
                          <w:jc w:val="center"/>
                        </w:pPr>
                        <w:r>
                          <w:rPr>
                            <w:rFonts w:hint="eastAsia"/>
                          </w:rPr>
                          <w:t>治疗、检查、取药</w:t>
                        </w:r>
                      </w:p>
                    </w:txbxContent>
                  </v:textbox>
                </v:shape>
                <v:shape id="Text Box 32" o:spid="_x0000_s1035" type="#_x0000_t202" style="position:absolute;left:22669;top:11889;width:313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26F5E" w:rsidRDefault="00926F5E" w:rsidP="00926F5E">
                        <w:pPr>
                          <w:jc w:val="center"/>
                        </w:pPr>
                        <w:r>
                          <w:rPr>
                            <w:rFonts w:hint="eastAsia"/>
                          </w:rPr>
                          <w:t>住院患者</w:t>
                        </w:r>
                      </w:p>
                    </w:txbxContent>
                  </v:textbox>
                </v:shape>
                <v:shape id="Text Box 33" o:spid="_x0000_s1036" type="#_x0000_t202" style="position:absolute;left:18669;top:17833;width:37338;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26F5E" w:rsidRDefault="00926F5E" w:rsidP="00926F5E">
                        <w:pPr>
                          <w:jc w:val="center"/>
                        </w:pPr>
                        <w:r>
                          <w:rPr>
                            <w:rFonts w:hint="eastAsia"/>
                          </w:rPr>
                          <w:t>住院患者持入院证、医疗手册到出入院处登记、留存患者信息</w:t>
                        </w:r>
                      </w:p>
                    </w:txbxContent>
                  </v:textbox>
                </v:shape>
                <v:shape id="Text Box 34" o:spid="_x0000_s1037" type="#_x0000_t202" style="position:absolute;left:22669;top:23778;width:31337;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26F5E" w:rsidRDefault="00926F5E" w:rsidP="00926F5E">
                        <w:pPr>
                          <w:jc w:val="center"/>
                        </w:pPr>
                        <w:r>
                          <w:rPr>
                            <w:rFonts w:hint="eastAsia"/>
                          </w:rPr>
                          <w:t>患者住院治疗</w:t>
                        </w:r>
                      </w:p>
                    </w:txbxContent>
                  </v:textbox>
                </v:shape>
                <v:shape id="Text Box 35" o:spid="_x0000_s1038" type="#_x0000_t202" style="position:absolute;left:22857;top:29723;width:31338;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26F5E" w:rsidRDefault="00926F5E" w:rsidP="00926F5E">
                        <w:pPr>
                          <w:jc w:val="center"/>
                        </w:pPr>
                        <w:r>
                          <w:rPr>
                            <w:rFonts w:hint="eastAsia"/>
                          </w:rPr>
                          <w:t>患者持出院证到出入院处办理出院手续</w:t>
                        </w:r>
                      </w:p>
                      <w:p w:rsidR="00926F5E" w:rsidRDefault="00926F5E" w:rsidP="00926F5E">
                        <w:pPr>
                          <w:jc w:val="center"/>
                        </w:pPr>
                        <w:r>
                          <w:rPr>
                            <w:rFonts w:hint="eastAsia"/>
                          </w:rPr>
                          <w:t>（享受太原市大学生医保待遇）</w:t>
                        </w:r>
                      </w:p>
                    </w:txbxContent>
                  </v:textbox>
                </v:shape>
                <v:line id="Line 36" o:spid="_x0000_s1039" style="position:absolute;visibility:visible;mso-wrap-style:square" from="37338,8916" to="37345,1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37" o:spid="_x0000_s1040" type="#_x0000_t202" style="position:absolute;left:4000;top:5952;width:406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26F5E" w:rsidRDefault="00926F5E" w:rsidP="00926F5E">
                        <w:pPr>
                          <w:jc w:val="center"/>
                        </w:pPr>
                        <w:r>
                          <w:rPr>
                            <w:rFonts w:hint="eastAsia"/>
                          </w:rPr>
                          <w:t>到相应科室就医</w:t>
                        </w:r>
                      </w:p>
                    </w:txbxContent>
                  </v:textbox>
                </v:shape>
                <v:line id="Line 38" o:spid="_x0000_s1041" style="position:absolute;visibility:visible;mso-wrap-style:square" from="37338,14861" to="37345,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9" o:spid="_x0000_s1042" style="position:absolute;visibility:visible;mso-wrap-style:square" from="37338,20806" to="37345,2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0" o:spid="_x0000_s1043" style="position:absolute;visibility:visible;mso-wrap-style:square" from="37338,26743" to="37345,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1" o:spid="_x0000_s1044" style="position:absolute;visibility:visible;mso-wrap-style:square" from="5718,27736" to="5726,3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2" o:spid="_x0000_s1045" style="position:absolute;visibility:visible;mso-wrap-style:square" from="37722,34674" to="37730,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43" o:spid="_x0000_s1046" type="#_x0000_t202" style="position:absolute;left:22857;top:37646;width:31338;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26F5E" w:rsidRDefault="00926F5E" w:rsidP="00926F5E">
                        <w:pPr>
                          <w:jc w:val="center"/>
                        </w:pPr>
                        <w:r>
                          <w:rPr>
                            <w:rFonts w:hint="eastAsia"/>
                          </w:rPr>
                          <w:t>大学生患者将出院证及结算发票送到</w:t>
                        </w:r>
                      </w:p>
                      <w:p w:rsidR="00926F5E" w:rsidRDefault="00926F5E" w:rsidP="00926F5E">
                        <w:pPr>
                          <w:jc w:val="center"/>
                        </w:pPr>
                        <w:r>
                          <w:rPr>
                            <w:rFonts w:hint="eastAsia"/>
                          </w:rPr>
                          <w:t>门诊三层医保科办理二次报销补助</w:t>
                        </w:r>
                      </w:p>
                    </w:txbxContent>
                  </v:textbox>
                </v:shape>
                <w10:anchorlock/>
              </v:group>
            </w:pict>
          </mc:Fallback>
        </mc:AlternateContent>
      </w:r>
    </w:p>
    <w:p w:rsidR="00926F5E" w:rsidRDefault="00926F5E" w:rsidP="00926F5E">
      <w:pPr>
        <w:spacing w:line="560" w:lineRule="exact"/>
        <w:ind w:firstLineChars="200" w:firstLine="560"/>
        <w:rPr>
          <w:b/>
          <w:sz w:val="28"/>
          <w:szCs w:val="28"/>
        </w:rPr>
      </w:pPr>
      <w:r>
        <w:rPr>
          <w:rFonts w:hint="eastAsia"/>
          <w:sz w:val="28"/>
          <w:szCs w:val="28"/>
        </w:rPr>
        <w:t>八</w:t>
      </w:r>
      <w:r>
        <w:rPr>
          <w:rFonts w:hint="eastAsia"/>
          <w:b/>
          <w:sz w:val="28"/>
          <w:szCs w:val="28"/>
        </w:rPr>
        <w:t>、大学生在原籍地住院报销相关事宜：</w:t>
      </w:r>
    </w:p>
    <w:p w:rsidR="00926F5E" w:rsidRDefault="00926F5E" w:rsidP="00926F5E">
      <w:pPr>
        <w:spacing w:line="560" w:lineRule="exact"/>
        <w:ind w:firstLineChars="200" w:firstLine="560"/>
        <w:rPr>
          <w:sz w:val="28"/>
          <w:szCs w:val="28"/>
        </w:rPr>
      </w:pPr>
      <w:r>
        <w:rPr>
          <w:sz w:val="28"/>
          <w:szCs w:val="28"/>
        </w:rPr>
        <w:t>1</w:t>
      </w:r>
      <w:r>
        <w:rPr>
          <w:rFonts w:hint="eastAsia"/>
          <w:sz w:val="28"/>
          <w:szCs w:val="28"/>
        </w:rPr>
        <w:t>、国庆和寒暑假期间，回原籍住院产生的医疗费用，按太原市同等级医院给予住院报销。</w:t>
      </w:r>
    </w:p>
    <w:p w:rsidR="00926F5E" w:rsidRDefault="00926F5E" w:rsidP="00926F5E">
      <w:pPr>
        <w:spacing w:line="560" w:lineRule="exact"/>
        <w:ind w:firstLineChars="200" w:firstLine="560"/>
        <w:rPr>
          <w:sz w:val="28"/>
          <w:szCs w:val="28"/>
        </w:rPr>
      </w:pPr>
      <w:r>
        <w:rPr>
          <w:sz w:val="28"/>
          <w:szCs w:val="28"/>
        </w:rPr>
        <w:t>2</w:t>
      </w:r>
      <w:r>
        <w:rPr>
          <w:rFonts w:hint="eastAsia"/>
          <w:sz w:val="28"/>
          <w:szCs w:val="28"/>
        </w:rPr>
        <w:t>、办理休学手续在原籍或实习期间在实习地住院治疗产生的医疗费用，由学校开具休学或实习证明，按太原市同等级医院给予住院报销。</w:t>
      </w:r>
    </w:p>
    <w:p w:rsidR="00926F5E" w:rsidRDefault="00926F5E" w:rsidP="00926F5E">
      <w:pPr>
        <w:spacing w:line="560" w:lineRule="exact"/>
        <w:ind w:firstLineChars="200" w:firstLine="560"/>
        <w:rPr>
          <w:sz w:val="28"/>
          <w:szCs w:val="28"/>
        </w:rPr>
      </w:pPr>
      <w:r>
        <w:rPr>
          <w:sz w:val="28"/>
          <w:szCs w:val="28"/>
        </w:rPr>
        <w:t>3</w:t>
      </w:r>
      <w:r>
        <w:rPr>
          <w:rFonts w:hint="eastAsia"/>
          <w:sz w:val="28"/>
          <w:szCs w:val="28"/>
        </w:rPr>
        <w:t>、根据太原市医保中心要求，大学生住院报销所需材料如下：</w:t>
      </w:r>
    </w:p>
    <w:p w:rsidR="00926F5E" w:rsidRDefault="00926F5E" w:rsidP="00926F5E">
      <w:pPr>
        <w:spacing w:line="560" w:lineRule="exact"/>
        <w:ind w:firstLineChars="200" w:firstLine="560"/>
        <w:rPr>
          <w:sz w:val="28"/>
          <w:szCs w:val="28"/>
        </w:rPr>
      </w:pPr>
      <w:r>
        <w:rPr>
          <w:rFonts w:hint="eastAsia"/>
          <w:sz w:val="28"/>
          <w:szCs w:val="28"/>
        </w:rPr>
        <w:t>①住院病历复印件：包括病案首页、入院记录、出院记录、长期医嘱和临时医嘱等（加盖医院公章）。</w:t>
      </w:r>
    </w:p>
    <w:p w:rsidR="00926F5E" w:rsidRDefault="00926F5E" w:rsidP="00926F5E">
      <w:pPr>
        <w:spacing w:line="560" w:lineRule="exact"/>
        <w:ind w:firstLineChars="200" w:firstLine="560"/>
        <w:rPr>
          <w:sz w:val="28"/>
          <w:szCs w:val="28"/>
        </w:rPr>
      </w:pPr>
      <w:r>
        <w:rPr>
          <w:rFonts w:hint="eastAsia"/>
          <w:sz w:val="28"/>
          <w:szCs w:val="28"/>
        </w:rPr>
        <w:t>②住院费用票据原件</w:t>
      </w:r>
    </w:p>
    <w:p w:rsidR="00926F5E" w:rsidRDefault="00926F5E" w:rsidP="00926F5E">
      <w:pPr>
        <w:spacing w:line="560" w:lineRule="exact"/>
        <w:ind w:left="560"/>
        <w:rPr>
          <w:sz w:val="28"/>
          <w:szCs w:val="28"/>
        </w:rPr>
      </w:pPr>
      <w:r>
        <w:rPr>
          <w:rFonts w:hint="eastAsia"/>
          <w:sz w:val="28"/>
          <w:szCs w:val="28"/>
        </w:rPr>
        <w:t>③费用汇总明细（非一日清单，加盖医院公章）</w:t>
      </w:r>
    </w:p>
    <w:p w:rsidR="00926F5E" w:rsidRDefault="00926F5E" w:rsidP="00926F5E">
      <w:pPr>
        <w:spacing w:line="560" w:lineRule="exact"/>
        <w:ind w:firstLineChars="200" w:firstLine="560"/>
        <w:rPr>
          <w:sz w:val="28"/>
          <w:szCs w:val="28"/>
        </w:rPr>
      </w:pPr>
      <w:r>
        <w:rPr>
          <w:rFonts w:hint="eastAsia"/>
          <w:sz w:val="28"/>
          <w:szCs w:val="28"/>
        </w:rPr>
        <w:t>④出院证或出院小结（加盖医院公章）</w:t>
      </w:r>
    </w:p>
    <w:p w:rsidR="00926F5E" w:rsidRDefault="00926F5E" w:rsidP="00926F5E">
      <w:pPr>
        <w:spacing w:line="560" w:lineRule="exact"/>
        <w:ind w:firstLineChars="200" w:firstLine="560"/>
        <w:rPr>
          <w:sz w:val="28"/>
          <w:szCs w:val="28"/>
        </w:rPr>
      </w:pPr>
      <w:r>
        <w:rPr>
          <w:rFonts w:hint="eastAsia"/>
          <w:sz w:val="28"/>
          <w:szCs w:val="28"/>
        </w:rPr>
        <w:lastRenderedPageBreak/>
        <w:t>⑤出院诊断证明（加盖医院公章）</w:t>
      </w:r>
    </w:p>
    <w:p w:rsidR="00926F5E" w:rsidRDefault="00926F5E" w:rsidP="00926F5E">
      <w:pPr>
        <w:spacing w:line="560" w:lineRule="exact"/>
        <w:ind w:firstLineChars="200" w:firstLine="560"/>
        <w:rPr>
          <w:sz w:val="28"/>
          <w:szCs w:val="28"/>
        </w:rPr>
      </w:pPr>
      <w:r>
        <w:rPr>
          <w:rFonts w:hint="eastAsia"/>
          <w:sz w:val="28"/>
          <w:szCs w:val="28"/>
        </w:rPr>
        <w:t>⑥医院等级证明（加盖医院公章）</w:t>
      </w:r>
    </w:p>
    <w:p w:rsidR="00926F5E" w:rsidRDefault="00926F5E" w:rsidP="00926F5E">
      <w:pPr>
        <w:spacing w:line="560" w:lineRule="exact"/>
        <w:ind w:firstLineChars="200" w:firstLine="560"/>
        <w:rPr>
          <w:sz w:val="28"/>
          <w:szCs w:val="28"/>
        </w:rPr>
      </w:pPr>
      <w:r>
        <w:rPr>
          <w:rFonts w:hint="eastAsia"/>
          <w:sz w:val="28"/>
          <w:szCs w:val="28"/>
        </w:rPr>
        <w:t>⑦大学生医保诊疗手册及首页的复印件</w:t>
      </w:r>
    </w:p>
    <w:p w:rsidR="00926F5E" w:rsidRDefault="00926F5E" w:rsidP="00926F5E">
      <w:pPr>
        <w:spacing w:line="560" w:lineRule="exact"/>
        <w:ind w:firstLineChars="200" w:firstLine="560"/>
        <w:rPr>
          <w:sz w:val="28"/>
          <w:szCs w:val="28"/>
        </w:rPr>
      </w:pPr>
      <w:r>
        <w:rPr>
          <w:rFonts w:hint="eastAsia"/>
          <w:sz w:val="28"/>
          <w:szCs w:val="28"/>
        </w:rPr>
        <w:t>⑧由居委会开具的原籍居住证明或山西省太原市三甲医院开具的转院证明</w:t>
      </w:r>
    </w:p>
    <w:p w:rsidR="00926F5E" w:rsidRDefault="00926F5E" w:rsidP="00926F5E">
      <w:pPr>
        <w:spacing w:line="560" w:lineRule="exact"/>
        <w:ind w:firstLineChars="200" w:firstLine="560"/>
        <w:rPr>
          <w:sz w:val="28"/>
          <w:szCs w:val="28"/>
        </w:rPr>
      </w:pPr>
      <w:r>
        <w:rPr>
          <w:rFonts w:hint="eastAsia"/>
          <w:sz w:val="28"/>
          <w:szCs w:val="28"/>
        </w:rPr>
        <w:t>⑨本人申请（上述材料备齐后来校医院医保科填写）</w:t>
      </w:r>
    </w:p>
    <w:p w:rsidR="00926F5E" w:rsidRDefault="00926F5E" w:rsidP="00926F5E">
      <w:pPr>
        <w:spacing w:line="560" w:lineRule="exact"/>
        <w:ind w:firstLineChars="200" w:firstLine="560"/>
        <w:rPr>
          <w:sz w:val="28"/>
          <w:szCs w:val="28"/>
        </w:rPr>
      </w:pPr>
      <w:r>
        <w:rPr>
          <w:sz w:val="28"/>
          <w:szCs w:val="28"/>
        </w:rPr>
        <w:fldChar w:fldCharType="begin"/>
      </w:r>
      <w:r>
        <w:rPr>
          <w:sz w:val="28"/>
          <w:szCs w:val="28"/>
        </w:rPr>
        <w:instrText xml:space="preserve"> eq \o\ac(</w:instrText>
      </w:r>
      <w:r>
        <w:rPr>
          <w:rFonts w:ascii="宋体" w:hint="eastAsia"/>
          <w:position w:val="-5"/>
          <w:sz w:val="42"/>
          <w:szCs w:val="28"/>
        </w:rPr>
        <w:instrText>○</w:instrText>
      </w:r>
      <w:r>
        <w:rPr>
          <w:sz w:val="28"/>
          <w:szCs w:val="28"/>
        </w:rPr>
        <w:instrText>,10)</w:instrText>
      </w:r>
      <w:r>
        <w:rPr>
          <w:sz w:val="28"/>
          <w:szCs w:val="28"/>
        </w:rPr>
        <w:fldChar w:fldCharType="end"/>
      </w:r>
      <w:r>
        <w:rPr>
          <w:rFonts w:hint="eastAsia"/>
          <w:sz w:val="28"/>
          <w:szCs w:val="28"/>
        </w:rPr>
        <w:t>身份证正反面复印件</w:t>
      </w:r>
    </w:p>
    <w:p w:rsidR="00926F5E" w:rsidRDefault="00926F5E" w:rsidP="00926F5E">
      <w:pPr>
        <w:spacing w:line="560" w:lineRule="exact"/>
        <w:ind w:firstLineChars="200" w:firstLine="560"/>
        <w:rPr>
          <w:sz w:val="28"/>
          <w:szCs w:val="28"/>
        </w:rPr>
      </w:pPr>
      <w:r>
        <w:rPr>
          <w:sz w:val="28"/>
          <w:szCs w:val="28"/>
        </w:rPr>
        <w:fldChar w:fldCharType="begin"/>
      </w:r>
      <w:r>
        <w:rPr>
          <w:sz w:val="28"/>
          <w:szCs w:val="28"/>
        </w:rPr>
        <w:instrText xml:space="preserve"> eq \o\ac(</w:instrText>
      </w:r>
      <w:r>
        <w:rPr>
          <w:rFonts w:ascii="宋体" w:hint="eastAsia"/>
          <w:position w:val="-5"/>
          <w:sz w:val="42"/>
          <w:szCs w:val="28"/>
        </w:rPr>
        <w:instrText>○</w:instrText>
      </w:r>
      <w:r>
        <w:rPr>
          <w:sz w:val="28"/>
          <w:szCs w:val="28"/>
        </w:rPr>
        <w:instrText>,11)</w:instrText>
      </w:r>
      <w:r>
        <w:rPr>
          <w:sz w:val="28"/>
          <w:szCs w:val="28"/>
        </w:rPr>
        <w:fldChar w:fldCharType="end"/>
      </w:r>
      <w:r>
        <w:rPr>
          <w:rFonts w:hint="eastAsia"/>
          <w:sz w:val="28"/>
          <w:szCs w:val="28"/>
        </w:rPr>
        <w:t>信息卡（身份证正面，与太原本地银行卡共同复印到一张</w:t>
      </w:r>
      <w:r>
        <w:rPr>
          <w:sz w:val="28"/>
          <w:szCs w:val="28"/>
        </w:rPr>
        <w:t>A4</w:t>
      </w:r>
      <w:r>
        <w:rPr>
          <w:rFonts w:hint="eastAsia"/>
          <w:sz w:val="28"/>
          <w:szCs w:val="28"/>
        </w:rPr>
        <w:t>纸上）</w:t>
      </w:r>
    </w:p>
    <w:p w:rsidR="00926F5E" w:rsidRDefault="00926F5E" w:rsidP="00926F5E">
      <w:pPr>
        <w:spacing w:line="560" w:lineRule="exact"/>
        <w:ind w:firstLineChars="200" w:firstLine="560"/>
        <w:rPr>
          <w:sz w:val="28"/>
          <w:szCs w:val="28"/>
        </w:rPr>
      </w:pPr>
      <w:r>
        <w:rPr>
          <w:rFonts w:hint="eastAsia"/>
          <w:sz w:val="28"/>
          <w:szCs w:val="28"/>
        </w:rPr>
        <w:t>九</w:t>
      </w:r>
      <w:r>
        <w:rPr>
          <w:rFonts w:hint="eastAsia"/>
          <w:b/>
          <w:sz w:val="28"/>
          <w:szCs w:val="28"/>
        </w:rPr>
        <w:t>、山西省内异地住院直接结算</w:t>
      </w:r>
      <w:r>
        <w:rPr>
          <w:rFonts w:ascii="仿宋" w:eastAsia="仿宋" w:hAnsi="仿宋" w:hint="eastAsia"/>
          <w:sz w:val="32"/>
          <w:szCs w:val="32"/>
        </w:rPr>
        <w:t>：</w:t>
      </w:r>
      <w:r>
        <w:rPr>
          <w:rFonts w:hint="eastAsia"/>
          <w:sz w:val="28"/>
          <w:szCs w:val="28"/>
        </w:rPr>
        <w:t>参保大学生在太原市统筹地区以外、山西省内异地住院就医，可持社会保障卡出院</w:t>
      </w:r>
      <w:r>
        <w:rPr>
          <w:rFonts w:hint="eastAsia"/>
          <w:b/>
          <w:sz w:val="28"/>
          <w:szCs w:val="28"/>
        </w:rPr>
        <w:t>即时结算</w:t>
      </w:r>
      <w:r>
        <w:rPr>
          <w:rFonts w:hint="eastAsia"/>
          <w:sz w:val="28"/>
          <w:szCs w:val="28"/>
        </w:rPr>
        <w:t>；如因特殊原因未实现异地即时结算，仍按原政策回太原市医保报销（材料准备见第八项）（私立医院不享受待遇，不能报销）。</w:t>
      </w:r>
    </w:p>
    <w:p w:rsidR="00926F5E" w:rsidRDefault="00926F5E" w:rsidP="00926F5E">
      <w:pPr>
        <w:spacing w:line="560" w:lineRule="exact"/>
        <w:ind w:firstLineChars="200" w:firstLine="560"/>
        <w:rPr>
          <w:b/>
          <w:sz w:val="28"/>
          <w:szCs w:val="28"/>
        </w:rPr>
      </w:pPr>
      <w:r>
        <w:rPr>
          <w:rFonts w:hint="eastAsia"/>
          <w:sz w:val="28"/>
          <w:szCs w:val="28"/>
        </w:rPr>
        <w:t>十</w:t>
      </w:r>
      <w:r>
        <w:rPr>
          <w:rFonts w:hint="eastAsia"/>
          <w:b/>
          <w:sz w:val="28"/>
          <w:szCs w:val="28"/>
        </w:rPr>
        <w:t>、大学生住院报销比例</w:t>
      </w:r>
      <w:r>
        <w:rPr>
          <w:rFonts w:ascii="宋体" w:hAnsi="宋体" w:cs="宋体" w:hint="eastAsia"/>
          <w:color w:val="C00000"/>
          <w:kern w:val="0"/>
          <w:sz w:val="24"/>
        </w:rPr>
        <w:t>：</w:t>
      </w:r>
    </w:p>
    <w:tbl>
      <w:tblPr>
        <w:tblW w:w="7875" w:type="dxa"/>
        <w:tblLook w:val="04A0" w:firstRow="1" w:lastRow="0" w:firstColumn="1" w:lastColumn="0" w:noHBand="0" w:noVBand="1"/>
      </w:tblPr>
      <w:tblGrid>
        <w:gridCol w:w="1365"/>
        <w:gridCol w:w="1995"/>
        <w:gridCol w:w="1050"/>
        <w:gridCol w:w="1155"/>
        <w:gridCol w:w="1260"/>
        <w:gridCol w:w="1050"/>
      </w:tblGrid>
      <w:tr w:rsidR="00926F5E" w:rsidTr="00926F5E">
        <w:trPr>
          <w:trHeight w:val="285"/>
        </w:trPr>
        <w:tc>
          <w:tcPr>
            <w:tcW w:w="7875" w:type="dxa"/>
            <w:gridSpan w:val="6"/>
            <w:tcBorders>
              <w:top w:val="single" w:sz="4" w:space="0" w:color="auto"/>
              <w:left w:val="single" w:sz="4" w:space="0" w:color="auto"/>
              <w:bottom w:val="nil"/>
              <w:right w:val="single" w:sz="4" w:space="0" w:color="000000"/>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住院标准支付</w:t>
            </w:r>
          </w:p>
        </w:tc>
      </w:tr>
      <w:tr w:rsidR="00926F5E" w:rsidTr="00926F5E">
        <w:trPr>
          <w:trHeight w:val="285"/>
        </w:trPr>
        <w:tc>
          <w:tcPr>
            <w:tcW w:w="1365" w:type="dxa"/>
            <w:tcBorders>
              <w:top w:val="single" w:sz="4" w:space="0" w:color="auto"/>
              <w:left w:val="single" w:sz="4" w:space="0" w:color="auto"/>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医疗机构</w:t>
            </w:r>
          </w:p>
        </w:tc>
        <w:tc>
          <w:tcPr>
            <w:tcW w:w="1995" w:type="dxa"/>
            <w:tcBorders>
              <w:top w:val="single" w:sz="4" w:space="0" w:color="auto"/>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三类收费标准</w:t>
            </w:r>
          </w:p>
        </w:tc>
        <w:tc>
          <w:tcPr>
            <w:tcW w:w="2205" w:type="dxa"/>
            <w:gridSpan w:val="2"/>
            <w:tcBorders>
              <w:top w:val="single" w:sz="4" w:space="0" w:color="auto"/>
              <w:left w:val="nil"/>
              <w:bottom w:val="single" w:sz="4" w:space="0" w:color="auto"/>
              <w:right w:val="single" w:sz="4" w:space="0" w:color="000000"/>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二类收费标准</w:t>
            </w:r>
          </w:p>
        </w:tc>
        <w:tc>
          <w:tcPr>
            <w:tcW w:w="2310" w:type="dxa"/>
            <w:gridSpan w:val="2"/>
            <w:tcBorders>
              <w:top w:val="single" w:sz="4" w:space="0" w:color="auto"/>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一类收费标准</w:t>
            </w:r>
          </w:p>
        </w:tc>
      </w:tr>
      <w:tr w:rsidR="00926F5E" w:rsidTr="00926F5E">
        <w:trPr>
          <w:trHeight w:val="285"/>
        </w:trPr>
        <w:tc>
          <w:tcPr>
            <w:tcW w:w="1365" w:type="dxa"/>
            <w:tcBorders>
              <w:top w:val="nil"/>
              <w:left w:val="single" w:sz="4" w:space="0" w:color="auto"/>
              <w:bottom w:val="nil"/>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 xml:space="preserve">　</w:t>
            </w:r>
          </w:p>
        </w:tc>
        <w:tc>
          <w:tcPr>
            <w:tcW w:w="199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二级乙等及以下</w:t>
            </w:r>
          </w:p>
        </w:tc>
        <w:tc>
          <w:tcPr>
            <w:tcW w:w="2205" w:type="dxa"/>
            <w:gridSpan w:val="2"/>
            <w:tcBorders>
              <w:top w:val="nil"/>
              <w:left w:val="single" w:sz="4" w:space="0" w:color="auto"/>
              <w:bottom w:val="single" w:sz="4" w:space="0" w:color="auto"/>
              <w:right w:val="single" w:sz="4" w:space="0" w:color="000000"/>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三级乙等及二级甲等</w:t>
            </w:r>
          </w:p>
        </w:tc>
        <w:tc>
          <w:tcPr>
            <w:tcW w:w="2310" w:type="dxa"/>
            <w:gridSpan w:val="2"/>
            <w:tcBorders>
              <w:top w:val="nil"/>
              <w:left w:val="nil"/>
              <w:bottom w:val="single" w:sz="4" w:space="0" w:color="auto"/>
              <w:right w:val="single" w:sz="4" w:space="0" w:color="000000"/>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三级甲等</w:t>
            </w:r>
          </w:p>
        </w:tc>
      </w:tr>
      <w:tr w:rsidR="00926F5E" w:rsidTr="00926F5E">
        <w:trPr>
          <w:trHeight w:val="285"/>
        </w:trPr>
        <w:tc>
          <w:tcPr>
            <w:tcW w:w="1365" w:type="dxa"/>
            <w:tcBorders>
              <w:top w:val="nil"/>
              <w:left w:val="single" w:sz="4" w:space="0" w:color="auto"/>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 xml:space="preserve">　</w:t>
            </w:r>
          </w:p>
        </w:tc>
        <w:tc>
          <w:tcPr>
            <w:tcW w:w="199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 xml:space="preserve">　</w:t>
            </w:r>
          </w:p>
        </w:tc>
        <w:tc>
          <w:tcPr>
            <w:tcW w:w="105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县级</w:t>
            </w:r>
          </w:p>
        </w:tc>
        <w:tc>
          <w:tcPr>
            <w:tcW w:w="115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省、市级</w:t>
            </w:r>
          </w:p>
        </w:tc>
        <w:tc>
          <w:tcPr>
            <w:tcW w:w="126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省、市级</w:t>
            </w:r>
          </w:p>
        </w:tc>
        <w:tc>
          <w:tcPr>
            <w:tcW w:w="105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省外</w:t>
            </w:r>
          </w:p>
        </w:tc>
      </w:tr>
      <w:tr w:rsidR="00926F5E" w:rsidTr="00926F5E">
        <w:trPr>
          <w:trHeight w:val="285"/>
        </w:trPr>
        <w:tc>
          <w:tcPr>
            <w:tcW w:w="1365" w:type="dxa"/>
            <w:tcBorders>
              <w:top w:val="nil"/>
              <w:left w:val="single" w:sz="4" w:space="0" w:color="auto"/>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起付标准</w:t>
            </w:r>
          </w:p>
        </w:tc>
        <w:tc>
          <w:tcPr>
            <w:tcW w:w="199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100元</w:t>
            </w:r>
          </w:p>
        </w:tc>
        <w:tc>
          <w:tcPr>
            <w:tcW w:w="105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400</w:t>
            </w:r>
          </w:p>
        </w:tc>
        <w:tc>
          <w:tcPr>
            <w:tcW w:w="115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500</w:t>
            </w:r>
          </w:p>
        </w:tc>
        <w:tc>
          <w:tcPr>
            <w:tcW w:w="126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1000</w:t>
            </w:r>
          </w:p>
        </w:tc>
        <w:tc>
          <w:tcPr>
            <w:tcW w:w="105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1500</w:t>
            </w:r>
          </w:p>
        </w:tc>
      </w:tr>
      <w:tr w:rsidR="00926F5E" w:rsidTr="00926F5E">
        <w:trPr>
          <w:trHeight w:val="285"/>
        </w:trPr>
        <w:tc>
          <w:tcPr>
            <w:tcW w:w="1365" w:type="dxa"/>
            <w:tcBorders>
              <w:top w:val="nil"/>
              <w:left w:val="single" w:sz="4" w:space="0" w:color="auto"/>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支付比例</w:t>
            </w:r>
          </w:p>
        </w:tc>
        <w:tc>
          <w:tcPr>
            <w:tcW w:w="199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85%</w:t>
            </w:r>
          </w:p>
        </w:tc>
        <w:tc>
          <w:tcPr>
            <w:tcW w:w="105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75%</w:t>
            </w:r>
          </w:p>
        </w:tc>
        <w:tc>
          <w:tcPr>
            <w:tcW w:w="1155"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70%</w:t>
            </w:r>
          </w:p>
        </w:tc>
        <w:tc>
          <w:tcPr>
            <w:tcW w:w="126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60%</w:t>
            </w:r>
          </w:p>
        </w:tc>
        <w:tc>
          <w:tcPr>
            <w:tcW w:w="1050" w:type="dxa"/>
            <w:tcBorders>
              <w:top w:val="nil"/>
              <w:left w:val="nil"/>
              <w:bottom w:val="single" w:sz="4" w:space="0" w:color="auto"/>
              <w:right w:val="single" w:sz="4" w:space="0" w:color="auto"/>
            </w:tcBorders>
            <w:noWrap/>
            <w:vAlign w:val="bottom"/>
            <w:hideMark/>
          </w:tcPr>
          <w:p w:rsidR="00926F5E" w:rsidRDefault="00926F5E">
            <w:pPr>
              <w:widowControl/>
              <w:jc w:val="left"/>
              <w:rPr>
                <w:rFonts w:ascii="宋体" w:hAnsi="宋体" w:cs="宋体"/>
                <w:kern w:val="0"/>
                <w:szCs w:val="21"/>
              </w:rPr>
            </w:pPr>
            <w:r>
              <w:rPr>
                <w:rFonts w:ascii="宋体" w:hAnsi="宋体" w:cs="宋体" w:hint="eastAsia"/>
                <w:kern w:val="0"/>
                <w:szCs w:val="21"/>
              </w:rPr>
              <w:t>55%</w:t>
            </w:r>
          </w:p>
        </w:tc>
      </w:tr>
    </w:tbl>
    <w:p w:rsidR="00926F5E" w:rsidRDefault="00926F5E" w:rsidP="00926F5E">
      <w:pPr>
        <w:spacing w:line="560" w:lineRule="exact"/>
        <w:rPr>
          <w:sz w:val="24"/>
        </w:rPr>
      </w:pPr>
      <w:r>
        <w:rPr>
          <w:rFonts w:hint="eastAsia"/>
          <w:sz w:val="24"/>
        </w:rPr>
        <w:t>注：</w:t>
      </w:r>
      <w:r>
        <w:rPr>
          <w:sz w:val="24"/>
        </w:rPr>
        <w:t>1.</w:t>
      </w:r>
      <w:r>
        <w:rPr>
          <w:rFonts w:hint="eastAsia"/>
          <w:sz w:val="24"/>
        </w:rPr>
        <w:t>年度内住院统筹基金最高支付为</w:t>
      </w:r>
      <w:r>
        <w:rPr>
          <w:sz w:val="24"/>
        </w:rPr>
        <w:t>7</w:t>
      </w:r>
      <w:r>
        <w:rPr>
          <w:rFonts w:hint="eastAsia"/>
          <w:sz w:val="24"/>
        </w:rPr>
        <w:t>万元；省内二次住院起付线减半。</w:t>
      </w:r>
    </w:p>
    <w:p w:rsidR="00926F5E" w:rsidRDefault="00926F5E" w:rsidP="00926F5E">
      <w:pPr>
        <w:spacing w:line="560" w:lineRule="exact"/>
        <w:rPr>
          <w:sz w:val="24"/>
        </w:rPr>
      </w:pPr>
      <w:r>
        <w:rPr>
          <w:sz w:val="24"/>
        </w:rPr>
        <w:t>2.</w:t>
      </w:r>
      <w:r>
        <w:rPr>
          <w:rFonts w:hint="eastAsia"/>
          <w:sz w:val="24"/>
        </w:rPr>
        <w:t>急诊住院，政策范围内支付比例</w:t>
      </w:r>
      <w:r>
        <w:rPr>
          <w:sz w:val="24"/>
        </w:rPr>
        <w:t>50%</w:t>
      </w:r>
    </w:p>
    <w:p w:rsidR="00926F5E" w:rsidRDefault="00926F5E" w:rsidP="00926F5E">
      <w:pPr>
        <w:spacing w:line="560" w:lineRule="exact"/>
        <w:rPr>
          <w:sz w:val="24"/>
        </w:rPr>
      </w:pPr>
      <w:r>
        <w:rPr>
          <w:sz w:val="24"/>
        </w:rPr>
        <w:t>3.</w:t>
      </w:r>
      <w:r>
        <w:rPr>
          <w:rFonts w:hint="eastAsia"/>
          <w:sz w:val="24"/>
        </w:rPr>
        <w:t>未按规定办理转外就医，且不属急诊，按一类收费起付线标准，住院政策范围内支付比例</w:t>
      </w:r>
      <w:r>
        <w:rPr>
          <w:sz w:val="24"/>
        </w:rPr>
        <w:t>35%</w:t>
      </w:r>
    </w:p>
    <w:p w:rsidR="00926F5E" w:rsidRDefault="00926F5E" w:rsidP="00926F5E">
      <w:pPr>
        <w:spacing w:line="560" w:lineRule="exact"/>
        <w:ind w:firstLineChars="200" w:firstLine="560"/>
        <w:rPr>
          <w:rFonts w:ascii="仿宋_GB2312" w:eastAsia="仿宋_GB2312" w:hAnsi="仿宋_GB2312" w:cs="仿宋_GB2312"/>
          <w:sz w:val="28"/>
          <w:szCs w:val="28"/>
        </w:rPr>
      </w:pPr>
      <w:r>
        <w:rPr>
          <w:rFonts w:hint="eastAsia"/>
          <w:sz w:val="28"/>
          <w:szCs w:val="28"/>
        </w:rPr>
        <w:t>十一、</w:t>
      </w:r>
      <w:r>
        <w:rPr>
          <w:rFonts w:hint="eastAsia"/>
          <w:b/>
          <w:sz w:val="28"/>
          <w:szCs w:val="28"/>
        </w:rPr>
        <w:t>医保统筹基金不予支付的医疗费用：</w:t>
      </w:r>
    </w:p>
    <w:p w:rsidR="00926F5E" w:rsidRDefault="00926F5E" w:rsidP="00926F5E">
      <w:pPr>
        <w:snapToGrid w:val="0"/>
        <w:spacing w:line="360" w:lineRule="auto"/>
        <w:ind w:rightChars="12" w:right="25" w:firstLineChars="200" w:firstLine="560"/>
        <w:rPr>
          <w:rFonts w:hint="eastAsia"/>
          <w:sz w:val="28"/>
          <w:szCs w:val="28"/>
        </w:rPr>
      </w:pPr>
      <w:r>
        <w:rPr>
          <w:rFonts w:hint="eastAsia"/>
          <w:sz w:val="28"/>
          <w:szCs w:val="28"/>
        </w:rPr>
        <w:t>参保居民（包括参保大学生）发生的医疗费用有下列情形之一的，统筹基金不予支付：</w:t>
      </w:r>
    </w:p>
    <w:p w:rsidR="00926F5E" w:rsidRDefault="00926F5E" w:rsidP="00926F5E">
      <w:pPr>
        <w:snapToGrid w:val="0"/>
        <w:spacing w:line="360" w:lineRule="auto"/>
        <w:ind w:rightChars="12" w:right="25" w:firstLineChars="200" w:firstLine="560"/>
        <w:rPr>
          <w:sz w:val="28"/>
          <w:szCs w:val="28"/>
        </w:rPr>
      </w:pPr>
      <w:r>
        <w:rPr>
          <w:sz w:val="28"/>
          <w:szCs w:val="28"/>
        </w:rPr>
        <w:lastRenderedPageBreak/>
        <w:t>1</w:t>
      </w:r>
      <w:r>
        <w:rPr>
          <w:rFonts w:hint="eastAsia"/>
          <w:sz w:val="28"/>
          <w:szCs w:val="28"/>
        </w:rPr>
        <w:t>．在本市非定点医疗机构治疗的（急诊住院除外）；</w:t>
      </w:r>
    </w:p>
    <w:p w:rsidR="00926F5E" w:rsidRDefault="00926F5E" w:rsidP="00926F5E">
      <w:pPr>
        <w:snapToGrid w:val="0"/>
        <w:spacing w:line="360" w:lineRule="auto"/>
        <w:ind w:rightChars="12" w:right="25" w:firstLineChars="200" w:firstLine="560"/>
        <w:rPr>
          <w:sz w:val="28"/>
          <w:szCs w:val="28"/>
        </w:rPr>
      </w:pPr>
      <w:r>
        <w:rPr>
          <w:sz w:val="28"/>
          <w:szCs w:val="28"/>
        </w:rPr>
        <w:t>2</w:t>
      </w:r>
      <w:r>
        <w:rPr>
          <w:rFonts w:hint="eastAsia"/>
          <w:sz w:val="28"/>
          <w:szCs w:val="28"/>
        </w:rPr>
        <w:t>．未经批准转外地医疗机构治疗的；</w:t>
      </w:r>
    </w:p>
    <w:p w:rsidR="00926F5E" w:rsidRDefault="00926F5E" w:rsidP="00926F5E">
      <w:pPr>
        <w:snapToGrid w:val="0"/>
        <w:spacing w:line="360" w:lineRule="auto"/>
        <w:ind w:rightChars="12" w:right="25" w:firstLineChars="200" w:firstLine="560"/>
        <w:rPr>
          <w:sz w:val="28"/>
          <w:szCs w:val="28"/>
        </w:rPr>
      </w:pPr>
      <w:r>
        <w:rPr>
          <w:sz w:val="28"/>
          <w:szCs w:val="28"/>
        </w:rPr>
        <w:t>3</w:t>
      </w:r>
      <w:r>
        <w:rPr>
          <w:rFonts w:hint="eastAsia"/>
          <w:sz w:val="28"/>
          <w:szCs w:val="28"/>
        </w:rPr>
        <w:t>．不符合山西省基本医疗保险药品目录、诊疗项目目录、医疗服务设施范围标准的医疗费用；</w:t>
      </w:r>
    </w:p>
    <w:p w:rsidR="00926F5E" w:rsidRDefault="00926F5E" w:rsidP="00926F5E">
      <w:pPr>
        <w:snapToGrid w:val="0"/>
        <w:spacing w:line="360" w:lineRule="auto"/>
        <w:ind w:rightChars="12" w:right="25" w:firstLineChars="200" w:firstLine="560"/>
        <w:rPr>
          <w:sz w:val="28"/>
          <w:szCs w:val="28"/>
        </w:rPr>
      </w:pPr>
      <w:r>
        <w:rPr>
          <w:sz w:val="28"/>
          <w:szCs w:val="28"/>
        </w:rPr>
        <w:t>4</w:t>
      </w:r>
      <w:r>
        <w:rPr>
          <w:rFonts w:hint="eastAsia"/>
          <w:sz w:val="28"/>
          <w:szCs w:val="28"/>
        </w:rPr>
        <w:t>．未按规定期限结算的住院医疗费用；</w:t>
      </w:r>
    </w:p>
    <w:p w:rsidR="00926F5E" w:rsidRDefault="00926F5E" w:rsidP="00926F5E">
      <w:pPr>
        <w:snapToGrid w:val="0"/>
        <w:spacing w:line="360" w:lineRule="auto"/>
        <w:ind w:rightChars="12" w:right="25" w:firstLineChars="200" w:firstLine="560"/>
        <w:rPr>
          <w:sz w:val="28"/>
          <w:szCs w:val="28"/>
        </w:rPr>
      </w:pPr>
      <w:r>
        <w:rPr>
          <w:sz w:val="28"/>
          <w:szCs w:val="28"/>
        </w:rPr>
        <w:t>5</w:t>
      </w:r>
      <w:r>
        <w:rPr>
          <w:rFonts w:hint="eastAsia"/>
          <w:sz w:val="28"/>
          <w:szCs w:val="28"/>
        </w:rPr>
        <w:t>．私自涂改处方或自行开方索取的药品费用；</w:t>
      </w:r>
    </w:p>
    <w:p w:rsidR="00926F5E" w:rsidRDefault="00926F5E" w:rsidP="00926F5E">
      <w:pPr>
        <w:snapToGrid w:val="0"/>
        <w:spacing w:line="360" w:lineRule="auto"/>
        <w:ind w:rightChars="12" w:right="25" w:firstLineChars="200" w:firstLine="560"/>
        <w:rPr>
          <w:sz w:val="28"/>
          <w:szCs w:val="28"/>
        </w:rPr>
      </w:pPr>
      <w:r>
        <w:rPr>
          <w:sz w:val="28"/>
          <w:szCs w:val="28"/>
        </w:rPr>
        <w:t>6</w:t>
      </w:r>
      <w:r>
        <w:rPr>
          <w:rFonts w:hint="eastAsia"/>
          <w:sz w:val="28"/>
          <w:szCs w:val="28"/>
        </w:rPr>
        <w:t>．在国外或港、澳及台湾地区发生的医疗费用；</w:t>
      </w:r>
    </w:p>
    <w:p w:rsidR="00926F5E" w:rsidRDefault="00926F5E" w:rsidP="00926F5E">
      <w:pPr>
        <w:snapToGrid w:val="0"/>
        <w:spacing w:line="360" w:lineRule="auto"/>
        <w:ind w:rightChars="12" w:right="25" w:firstLineChars="200" w:firstLine="560"/>
        <w:rPr>
          <w:sz w:val="28"/>
          <w:szCs w:val="28"/>
        </w:rPr>
      </w:pPr>
      <w:r>
        <w:rPr>
          <w:sz w:val="28"/>
          <w:szCs w:val="28"/>
        </w:rPr>
        <w:t>7</w:t>
      </w:r>
      <w:r>
        <w:rPr>
          <w:rFonts w:hint="eastAsia"/>
          <w:sz w:val="28"/>
          <w:szCs w:val="28"/>
        </w:rPr>
        <w:t>．因违法犯罪、打架、斗殴、酗酒、自残、自杀、吸毒以及交通事故、医疗事故等发生的医疗费用；</w:t>
      </w:r>
    </w:p>
    <w:p w:rsidR="00926F5E" w:rsidRDefault="00926F5E" w:rsidP="00926F5E">
      <w:pPr>
        <w:snapToGrid w:val="0"/>
        <w:spacing w:line="360" w:lineRule="auto"/>
        <w:ind w:rightChars="12" w:right="25" w:firstLineChars="200" w:firstLine="560"/>
        <w:rPr>
          <w:sz w:val="28"/>
          <w:szCs w:val="28"/>
        </w:rPr>
      </w:pPr>
      <w:r>
        <w:rPr>
          <w:sz w:val="28"/>
          <w:szCs w:val="28"/>
        </w:rPr>
        <w:t>8</w:t>
      </w:r>
      <w:r>
        <w:rPr>
          <w:rFonts w:hint="eastAsia"/>
          <w:sz w:val="28"/>
          <w:szCs w:val="28"/>
        </w:rPr>
        <w:t>．按照国家和省规定应当由个人支付的医疗费用。</w:t>
      </w:r>
    </w:p>
    <w:p w:rsidR="00926F5E" w:rsidRDefault="00926F5E" w:rsidP="00926F5E">
      <w:pPr>
        <w:spacing w:line="560" w:lineRule="exact"/>
        <w:ind w:firstLineChars="150" w:firstLine="420"/>
        <w:rPr>
          <w:b/>
          <w:sz w:val="28"/>
          <w:szCs w:val="28"/>
        </w:rPr>
      </w:pPr>
      <w:r>
        <w:rPr>
          <w:rFonts w:hint="eastAsia"/>
          <w:sz w:val="28"/>
          <w:szCs w:val="28"/>
        </w:rPr>
        <w:t>十二</w:t>
      </w:r>
      <w:r>
        <w:rPr>
          <w:rFonts w:hint="eastAsia"/>
          <w:b/>
          <w:sz w:val="28"/>
          <w:szCs w:val="28"/>
        </w:rPr>
        <w:t>、特殊待遇：</w:t>
      </w:r>
    </w:p>
    <w:p w:rsidR="00926F5E" w:rsidRDefault="00926F5E" w:rsidP="00926F5E">
      <w:pPr>
        <w:snapToGrid w:val="0"/>
        <w:spacing w:line="360" w:lineRule="auto"/>
        <w:ind w:rightChars="12" w:right="25" w:firstLineChars="200" w:firstLine="560"/>
        <w:rPr>
          <w:sz w:val="28"/>
          <w:szCs w:val="28"/>
        </w:rPr>
      </w:pPr>
      <w:r>
        <w:rPr>
          <w:rFonts w:hint="eastAsia"/>
          <w:sz w:val="28"/>
          <w:szCs w:val="28"/>
        </w:rPr>
        <w:t>参加太原市城乡居民基本医疗保险的未成年人（大学生）均可享受此待遇。六种重大疾病病种：先天性房间隔缺损、先天性室间隔缺损、先天性动脉导管未闭、先天性肺动脉瓣狭窄；对第一诊断为标危或中危的急性淋巴细胞白血病，以及第一诊断为急性早幼粒细胞白血病。</w:t>
      </w:r>
    </w:p>
    <w:p w:rsidR="00926F5E" w:rsidRDefault="00926F5E" w:rsidP="00926F5E">
      <w:pPr>
        <w:snapToGrid w:val="0"/>
        <w:spacing w:line="360" w:lineRule="auto"/>
        <w:ind w:rightChars="12" w:right="25" w:firstLineChars="200" w:firstLine="560"/>
        <w:rPr>
          <w:sz w:val="28"/>
          <w:szCs w:val="28"/>
        </w:rPr>
      </w:pPr>
      <w:r>
        <w:rPr>
          <w:rFonts w:hint="eastAsia"/>
          <w:sz w:val="28"/>
          <w:szCs w:val="28"/>
        </w:rPr>
        <w:t>符合条件的参保患者，由本人或家属到救治定点医院（先心病救治定点医院：山西省人民医院、山西医科大学第一医院、山西医科大学第二医院、山西省妇幼保健院、山西大医院、山西省心血管病医院；白血病救治定点医院：山西省人民医院、山西医科大学第一医院、山西医科大学第二医院、山西省妇幼保健院、山西大医院、山西省肿瘤医院）提出申请。</w:t>
      </w:r>
    </w:p>
    <w:p w:rsidR="00926F5E" w:rsidRDefault="00926F5E" w:rsidP="00926F5E">
      <w:pPr>
        <w:rPr>
          <w:sz w:val="28"/>
          <w:szCs w:val="28"/>
        </w:rPr>
      </w:pPr>
      <w:r>
        <w:rPr>
          <w:rFonts w:hint="eastAsia"/>
          <w:sz w:val="28"/>
          <w:szCs w:val="28"/>
        </w:rPr>
        <w:t>未成年人（大学生）六种重大疾病，在一个医疗年度内医疗费用报销不设最高支付限额；乙类项目不再承担自付部分；定点医院按城乡居民基本医疗保险政策进行结算</w:t>
      </w:r>
      <w:r>
        <w:rPr>
          <w:sz w:val="28"/>
          <w:szCs w:val="28"/>
        </w:rPr>
        <w:t>,</w:t>
      </w:r>
      <w:r>
        <w:rPr>
          <w:rFonts w:hint="eastAsia"/>
          <w:sz w:val="28"/>
          <w:szCs w:val="28"/>
        </w:rPr>
        <w:t>患者自负部分按</w:t>
      </w:r>
      <w:r>
        <w:rPr>
          <w:sz w:val="28"/>
          <w:szCs w:val="28"/>
        </w:rPr>
        <w:t>70%</w:t>
      </w:r>
      <w:r>
        <w:rPr>
          <w:rFonts w:hint="eastAsia"/>
          <w:sz w:val="28"/>
          <w:szCs w:val="28"/>
        </w:rPr>
        <w:t>再进行二次报销</w:t>
      </w:r>
      <w:r>
        <w:rPr>
          <w:rFonts w:hint="eastAsia"/>
          <w:sz w:val="28"/>
          <w:szCs w:val="28"/>
        </w:rPr>
        <w:lastRenderedPageBreak/>
        <w:t>（城乡居民基本医疗保险承担</w:t>
      </w:r>
      <w:r>
        <w:rPr>
          <w:sz w:val="28"/>
          <w:szCs w:val="28"/>
        </w:rPr>
        <w:t>70%</w:t>
      </w:r>
      <w:r>
        <w:rPr>
          <w:rFonts w:hint="eastAsia"/>
          <w:sz w:val="28"/>
          <w:szCs w:val="28"/>
        </w:rPr>
        <w:t>，居民大病医疗保承担</w:t>
      </w:r>
      <w:r>
        <w:rPr>
          <w:sz w:val="28"/>
          <w:szCs w:val="28"/>
        </w:rPr>
        <w:t>30%</w:t>
      </w:r>
      <w:r>
        <w:rPr>
          <w:rFonts w:hint="eastAsia"/>
          <w:sz w:val="28"/>
          <w:szCs w:val="28"/>
        </w:rPr>
        <w:t>）</w:t>
      </w:r>
      <w:r>
        <w:rPr>
          <w:sz w:val="28"/>
          <w:szCs w:val="28"/>
        </w:rPr>
        <w:t>,</w:t>
      </w:r>
      <w:r>
        <w:rPr>
          <w:rFonts w:hint="eastAsia"/>
          <w:sz w:val="28"/>
          <w:szCs w:val="28"/>
        </w:rPr>
        <w:t>一次报销和二次补偿合计报销比例为</w:t>
      </w:r>
      <w:r>
        <w:rPr>
          <w:sz w:val="28"/>
          <w:szCs w:val="28"/>
        </w:rPr>
        <w:t>80%</w:t>
      </w:r>
      <w:r>
        <w:rPr>
          <w:rFonts w:hint="eastAsia"/>
          <w:sz w:val="28"/>
          <w:szCs w:val="28"/>
        </w:rPr>
        <w:t>；在定点医院及时结算</w:t>
      </w:r>
      <w:r>
        <w:rPr>
          <w:sz w:val="28"/>
          <w:szCs w:val="28"/>
        </w:rPr>
        <w:t>;</w:t>
      </w:r>
      <w:r>
        <w:rPr>
          <w:rFonts w:hint="eastAsia"/>
          <w:sz w:val="28"/>
          <w:szCs w:val="28"/>
        </w:rPr>
        <w:t>转外就诊的患者报销比例降低</w:t>
      </w:r>
      <w:r>
        <w:rPr>
          <w:sz w:val="28"/>
          <w:szCs w:val="28"/>
        </w:rPr>
        <w:t>5%</w:t>
      </w:r>
    </w:p>
    <w:p w:rsidR="00926F5E" w:rsidRDefault="00926F5E" w:rsidP="00926F5E">
      <w:pPr>
        <w:spacing w:line="560" w:lineRule="exact"/>
        <w:ind w:firstLineChars="196" w:firstLine="549"/>
        <w:rPr>
          <w:b/>
          <w:sz w:val="28"/>
          <w:szCs w:val="28"/>
        </w:rPr>
      </w:pPr>
      <w:r>
        <w:rPr>
          <w:rFonts w:hint="eastAsia"/>
          <w:sz w:val="28"/>
          <w:szCs w:val="28"/>
        </w:rPr>
        <w:t>十三</w:t>
      </w:r>
      <w:r>
        <w:rPr>
          <w:rFonts w:hint="eastAsia"/>
          <w:b/>
          <w:sz w:val="28"/>
          <w:szCs w:val="28"/>
        </w:rPr>
        <w:t>、大学生可通过以下方式咨询医保政策：</w:t>
      </w:r>
    </w:p>
    <w:p w:rsidR="00926F5E" w:rsidRDefault="00926F5E" w:rsidP="00926F5E">
      <w:pPr>
        <w:spacing w:line="560" w:lineRule="exact"/>
        <w:ind w:leftChars="267" w:left="841" w:hangingChars="100" w:hanging="280"/>
        <w:rPr>
          <w:sz w:val="28"/>
          <w:szCs w:val="28"/>
        </w:rPr>
      </w:pPr>
      <w:r>
        <w:rPr>
          <w:sz w:val="28"/>
          <w:szCs w:val="28"/>
        </w:rPr>
        <w:t>1</w:t>
      </w:r>
      <w:r>
        <w:rPr>
          <w:rFonts w:hint="eastAsia"/>
          <w:sz w:val="28"/>
          <w:szCs w:val="28"/>
        </w:rPr>
        <w:t>、中北大学医院官网（</w:t>
      </w:r>
      <w:hyperlink r:id="rId6" w:history="1">
        <w:r>
          <w:rPr>
            <w:rStyle w:val="a3"/>
            <w:sz w:val="28"/>
            <w:szCs w:val="28"/>
          </w:rPr>
          <w:t>http://www1.nuc.edu.cn/hgyy/Index.aspx</w:t>
        </w:r>
      </w:hyperlink>
      <w:r>
        <w:rPr>
          <w:rFonts w:hint="eastAsia"/>
          <w:sz w:val="28"/>
          <w:szCs w:val="28"/>
        </w:rPr>
        <w:t>）</w:t>
      </w:r>
    </w:p>
    <w:p w:rsidR="00926F5E" w:rsidRDefault="00926F5E" w:rsidP="00926F5E">
      <w:pPr>
        <w:spacing w:line="560" w:lineRule="exact"/>
        <w:ind w:leftChars="267" w:left="841" w:hangingChars="100" w:hanging="280"/>
        <w:rPr>
          <w:sz w:val="28"/>
          <w:szCs w:val="28"/>
        </w:rPr>
      </w:pPr>
      <w:r>
        <w:rPr>
          <w:sz w:val="28"/>
          <w:szCs w:val="28"/>
        </w:rPr>
        <w:t>---</w:t>
      </w:r>
      <w:r>
        <w:rPr>
          <w:rFonts w:hint="eastAsia"/>
          <w:sz w:val="28"/>
          <w:szCs w:val="28"/>
        </w:rPr>
        <w:t>医保服务</w:t>
      </w:r>
      <w:r>
        <w:rPr>
          <w:sz w:val="28"/>
          <w:szCs w:val="28"/>
        </w:rPr>
        <w:t>-</w:t>
      </w:r>
    </w:p>
    <w:p w:rsidR="00926F5E" w:rsidRDefault="00926F5E" w:rsidP="00926F5E">
      <w:pPr>
        <w:spacing w:line="560" w:lineRule="exact"/>
        <w:ind w:firstLineChars="200" w:firstLine="560"/>
        <w:rPr>
          <w:sz w:val="28"/>
          <w:szCs w:val="28"/>
        </w:rPr>
      </w:pPr>
      <w:r>
        <w:rPr>
          <w:sz w:val="28"/>
          <w:szCs w:val="28"/>
        </w:rPr>
        <w:t>2</w:t>
      </w:r>
      <w:r>
        <w:rPr>
          <w:rFonts w:hint="eastAsia"/>
          <w:sz w:val="28"/>
          <w:szCs w:val="28"/>
        </w:rPr>
        <w:t>、咨询医保科，来校医院三楼医保科或拨打医保科电话</w:t>
      </w:r>
      <w:r>
        <w:rPr>
          <w:sz w:val="28"/>
          <w:szCs w:val="28"/>
        </w:rPr>
        <w:t>3942624</w:t>
      </w:r>
      <w:r>
        <w:rPr>
          <w:rFonts w:hint="eastAsia"/>
          <w:sz w:val="28"/>
          <w:szCs w:val="28"/>
        </w:rPr>
        <w:t>。</w:t>
      </w:r>
    </w:p>
    <w:p w:rsidR="00926F5E" w:rsidRDefault="00926F5E" w:rsidP="00926F5E">
      <w:pPr>
        <w:widowControl/>
        <w:ind w:firstLineChars="150" w:firstLine="420"/>
        <w:jc w:val="left"/>
        <w:rPr>
          <w:b/>
          <w:bCs/>
          <w:sz w:val="28"/>
          <w:szCs w:val="28"/>
        </w:rPr>
      </w:pPr>
      <w:r>
        <w:rPr>
          <w:rFonts w:hint="eastAsia"/>
          <w:sz w:val="28"/>
          <w:szCs w:val="28"/>
        </w:rPr>
        <w:t>十四</w:t>
      </w:r>
      <w:r>
        <w:rPr>
          <w:rFonts w:hint="eastAsia"/>
          <w:b/>
          <w:sz w:val="28"/>
          <w:szCs w:val="28"/>
        </w:rPr>
        <w:t>、参保缴费标准：</w:t>
      </w:r>
      <w:r>
        <w:rPr>
          <w:rFonts w:hint="eastAsia"/>
          <w:sz w:val="28"/>
          <w:szCs w:val="28"/>
        </w:rPr>
        <w:t>每年根据当年太原市医疗保险管理中心文件规定标准进行缴费，</w:t>
      </w:r>
      <w:r>
        <w:rPr>
          <w:sz w:val="28"/>
          <w:szCs w:val="28"/>
        </w:rPr>
        <w:t xml:space="preserve"> 2021</w:t>
      </w:r>
      <w:r>
        <w:rPr>
          <w:rFonts w:hint="eastAsia"/>
          <w:sz w:val="28"/>
          <w:szCs w:val="28"/>
        </w:rPr>
        <w:t>年太原市城乡居民医保缴费标准为</w:t>
      </w:r>
      <w:r>
        <w:rPr>
          <w:sz w:val="28"/>
          <w:szCs w:val="28"/>
        </w:rPr>
        <w:t>:</w:t>
      </w:r>
      <w:r>
        <w:rPr>
          <w:b/>
          <w:bCs/>
          <w:sz w:val="28"/>
          <w:szCs w:val="28"/>
        </w:rPr>
        <w:t>280</w:t>
      </w:r>
      <w:r>
        <w:rPr>
          <w:rFonts w:hint="eastAsia"/>
          <w:b/>
          <w:bCs/>
          <w:sz w:val="28"/>
          <w:szCs w:val="28"/>
        </w:rPr>
        <w:t>元</w:t>
      </w:r>
      <w:r>
        <w:rPr>
          <w:b/>
          <w:bCs/>
          <w:sz w:val="28"/>
          <w:szCs w:val="28"/>
        </w:rPr>
        <w:t>/</w:t>
      </w:r>
      <w:r>
        <w:rPr>
          <w:rFonts w:hint="eastAsia"/>
          <w:b/>
          <w:bCs/>
          <w:sz w:val="28"/>
          <w:szCs w:val="28"/>
        </w:rPr>
        <w:t>人</w:t>
      </w:r>
      <w:r>
        <w:rPr>
          <w:b/>
          <w:bCs/>
          <w:sz w:val="28"/>
          <w:szCs w:val="28"/>
        </w:rPr>
        <w:t>/</w:t>
      </w:r>
      <w:r>
        <w:rPr>
          <w:rFonts w:hint="eastAsia"/>
          <w:b/>
          <w:bCs/>
          <w:sz w:val="28"/>
          <w:szCs w:val="28"/>
        </w:rPr>
        <w:t>年。</w:t>
      </w:r>
    </w:p>
    <w:p w:rsidR="00926F5E" w:rsidRDefault="00926F5E" w:rsidP="00926F5E">
      <w:pPr>
        <w:spacing w:line="560" w:lineRule="exact"/>
        <w:ind w:firstLineChars="200" w:firstLine="560"/>
        <w:rPr>
          <w:sz w:val="28"/>
          <w:szCs w:val="28"/>
        </w:rPr>
      </w:pPr>
    </w:p>
    <w:p w:rsidR="00926F5E" w:rsidRDefault="00926F5E" w:rsidP="00926F5E">
      <w:pPr>
        <w:wordWrap w:val="0"/>
        <w:ind w:leftChars="100" w:left="210" w:right="560" w:firstLineChars="1650" w:firstLine="4620"/>
        <w:rPr>
          <w:sz w:val="28"/>
          <w:szCs w:val="28"/>
        </w:rPr>
      </w:pPr>
      <w:r>
        <w:rPr>
          <w:rFonts w:hint="eastAsia"/>
          <w:sz w:val="28"/>
          <w:szCs w:val="28"/>
        </w:rPr>
        <w:t>中北大学医院医保科</w:t>
      </w:r>
      <w:r>
        <w:rPr>
          <w:sz w:val="28"/>
          <w:szCs w:val="28"/>
        </w:rPr>
        <w:t xml:space="preserve">  </w:t>
      </w:r>
      <w:r>
        <w:rPr>
          <w:rFonts w:ascii="黑体" w:eastAsia="黑体" w:hAnsi="宋体" w:hint="eastAsia"/>
          <w:sz w:val="30"/>
          <w:szCs w:val="30"/>
        </w:rPr>
        <w:t xml:space="preserve"> </w:t>
      </w:r>
      <w:r w:rsidR="0084725C">
        <w:rPr>
          <w:rFonts w:ascii="黑体" w:eastAsia="黑体" w:hAnsi="宋体" w:hint="eastAsia"/>
          <w:sz w:val="30"/>
          <w:szCs w:val="30"/>
        </w:rPr>
        <w:t xml:space="preserve">                               </w:t>
      </w:r>
      <w:bookmarkStart w:id="0" w:name="_GoBack"/>
      <w:bookmarkEnd w:id="0"/>
      <w:r>
        <w:t xml:space="preserve"> </w:t>
      </w:r>
      <w:r>
        <w:rPr>
          <w:sz w:val="28"/>
          <w:szCs w:val="28"/>
        </w:rPr>
        <w:t>2020</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w:t>
      </w:r>
    </w:p>
    <w:p w:rsidR="00926F5E" w:rsidRDefault="00926F5E" w:rsidP="00926F5E">
      <w:pPr>
        <w:spacing w:line="560" w:lineRule="exact"/>
        <w:jc w:val="center"/>
        <w:rPr>
          <w:rFonts w:ascii="黑体" w:eastAsia="黑体"/>
          <w:sz w:val="44"/>
          <w:szCs w:val="44"/>
        </w:rPr>
      </w:pPr>
    </w:p>
    <w:p w:rsidR="00926F5E" w:rsidRDefault="00926F5E" w:rsidP="00926F5E">
      <w:pPr>
        <w:spacing w:line="360" w:lineRule="auto"/>
        <w:rPr>
          <w:rFonts w:ascii="黑体" w:eastAsia="黑体" w:hAnsi="宋体" w:hint="eastAsia"/>
          <w:sz w:val="30"/>
          <w:szCs w:val="30"/>
        </w:rPr>
      </w:pPr>
      <w:r>
        <w:rPr>
          <w:rFonts w:ascii="黑体" w:eastAsia="黑体" w:hAnsi="宋体" w:hint="eastAsia"/>
          <w:sz w:val="30"/>
          <w:szCs w:val="30"/>
        </w:rPr>
        <w:t xml:space="preserve"> </w:t>
      </w:r>
    </w:p>
    <w:p w:rsidR="00644D3D" w:rsidRPr="00926F5E" w:rsidRDefault="00644D3D"/>
    <w:sectPr w:rsidR="00644D3D" w:rsidRPr="00926F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C54"/>
    <w:multiLevelType w:val="hybridMultilevel"/>
    <w:tmpl w:val="EB969D16"/>
    <w:lvl w:ilvl="0" w:tplc="4050B8E0">
      <w:start w:val="1"/>
      <w:numFmt w:val="japaneseCounting"/>
      <w:lvlText w:val="%1、"/>
      <w:lvlJc w:val="left"/>
      <w:pPr>
        <w:tabs>
          <w:tab w:val="num" w:pos="510"/>
        </w:tabs>
        <w:ind w:left="510" w:hanging="510"/>
      </w:pPr>
      <w:rPr>
        <w:rFonts w:ascii="宋体" w:eastAsia="Times New Roman" w:hAnsi="宋体"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E3"/>
    <w:rsid w:val="00644D3D"/>
    <w:rsid w:val="0084725C"/>
    <w:rsid w:val="00926F5E"/>
    <w:rsid w:val="00AC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6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6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nuc.edu.cn/hgyy/Inde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443</Words>
  <Characters>2530</Characters>
  <Application>Microsoft Office Word</Application>
  <DocSecurity>0</DocSecurity>
  <Lines>21</Lines>
  <Paragraphs>5</Paragraphs>
  <ScaleCrop>false</ScaleCrop>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3</cp:revision>
  <dcterms:created xsi:type="dcterms:W3CDTF">2020-10-04T00:27:00Z</dcterms:created>
  <dcterms:modified xsi:type="dcterms:W3CDTF">2020-10-04T00:28:00Z</dcterms:modified>
</cp:coreProperties>
</file>